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D-412/2023 vom 30. Januar 2023</w:t>
      </w:r>
    </w:p>
    <w:p>
      <w:r>
        <w:t>Bundesverwaltungsgericht, 2023-01-30, DE</w:t>
      </w:r>
    </w:p>
    <w:p>
      <w:r>
        <w:rPr>
          <w:b/>
        </w:rPr>
        <w:t xml:space="preserve">Quelle: </w:t>
      </w:r>
      <w:r>
        <w:t>https://mcp.opencaselaw.ch/entscheid/bvger_D-412_2023</w:t>
      </w:r>
    </w:p>
    <w:p>
      <w:r>
        <w:t>FR: TAF D-412/2023 du 30 janvier 2023</w:t>
      </w:r>
    </w:p>
    <w:p>
      <w:r>
        <w:t>IT: TAF D-412/2023 del 30 gennaio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Auf Beschwerdeebene werden formelle Rügen (Verletzung des Anspruchs auf rechtliches Gehör sowie der Pflicht zur vollständigen und richtigen Abklärung des rechtserheblichen Sachverhalts) erhoben. Sie sind vorab zu beurteilen, da sie gegebenenfalls geeignet sind,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4.3</w:t>
      </w:r>
    </w:p>
    <w:p>
      <w:r>
        <w:t>Der Beschwerdeführer rügt als eine Verletzung des rechtlichen Gehörs sowie der Pflicht zur vollständigen und richtigen Abklärung des rechtserheblichen Sachverhalts, dass die Vorinstanz keine Einzelfallprüfung im Sinne des Referenzurteils des Bundesverwaltungsgerichts E-3078/2019 vom 12. Juli 2019 vorgenommen habe (vgl. Beschwerde Ziff. 2 und 3). Entgegen der Auffassung des Beschwerdeführers hat die Vorinstanz eine Einzelfallprüfung im Sinne des obgenannten Referenzurteils vorgenommen, indem sie die Erkenntnisse aus den Abklärungen der Schweizer Botschaft in Kroatien zu den Push-backs und zu Dublin-Rückkehrern sowie die im Dublin-Gespräch vom 29. Dezember 2022 erhobenen Einwände in zusammengefasster Form wiedergegeben und nachvollziehbar aufgezeigt hat, von welchen Überlegungen sie sich leiten liess (vgl. angefochtene Verfügung, Ziff. II). In diesem Zusammenhang ist festzuhalten, dass sich die verfügende Behörde nicht ausdrücklich mit jeder tatbestandlichen Behauptung und jedem rechtlichen Einwand auseinandersetzen muss, sondern sich auf die wesentlichen Gesichtspunkte beschränken darf (BGE 143 III 65 E. 5.2). Alleine der Umstand, dass die Vorinstanz nach Würdigung der Parteivorbringen zu einem anderen Schluss als der Beschwerdeführer kommt, stellt keine Verletzung des Anspruchs auf rechtliches Gehör respektive der Pflicht zur vollständigen und richtigen Abklärung des rechtserheblichen Sachverhalts dar, sondern beschlägt die Frage der materiellen Würdigung.</w:t>
      </w:r>
    </w:p>
    <w:p>
      <w:r>
        <w:rPr>
          <w:b/>
        </w:rPr>
        <w:t>E. 4.4</w:t>
      </w:r>
    </w:p>
    <w:p>
      <w:r>
        <w:t>Als weitere Verletzung der Pflicht zur vollständigen und richtigen Abklärung des rechtserheblichen Sachverhalts rügt der Beschwerdeführer, dass die Vorinstanz den medizinischen Sachverhalt nicht hinreichend abgeklärt habe (vgl. Beschwerde Ziff. 3). Angesichts der Nachfrage der Vorinstanz beim für den Beschwerdeführer zuständigen Gesundheitsdienst (vgl. Prozessgeschichte, Bst. F.a) ist der rechtserhebliche medizinische Sachverhalt als vollständig erstellt zu erachten und es ist nicht ersichtlich, welche weiteren medizinischen Abklärungen erforderlich gewesen wären. Der im vorinstanzlichen Verfahren rechtlich vertretene Beschwerdeführer hatte offenbar Kontakt zu Ärzten, wobei aus ärztlicher Sicht weitere Konsultationen als nicht notwendig erachtet wurden (vgl. SEM-Akten [...]-24/1). Auch zum aktuellen Zeitpunkt geht das Gericht von einem erstellten Sachverhalt aus, zumal der Beschwerdeführer - über die diagnostizierten (...) hinaus - die bereits im vorinstanzlichen Verfahren geltend gemachten (...) sowie die erstmals auf Beschwerdeebene vorgebrachten (...) weder belegte noch ansatzweise substantiierte (vgl. Beschwerde Ziff. 1.b und 1.c). Alleine der Umstand, dass die Vorinstanz in ihrer Einschätzung zur gesundheitlichen Situation des Beschwerdeführers respektive gesundheitlichen Versorgung in Kroatien einer anderen Linie folgt, als vom Beschwerdeführer vertreten, spricht nicht für eine unrichtige oder unvollständige Sachverhaltsfeststellung.</w:t>
      </w:r>
    </w:p>
    <w:p>
      <w:r>
        <w:rPr>
          <w:b/>
        </w:rPr>
        <w:t>E. 4.5</w:t>
      </w:r>
    </w:p>
    <w:p>
      <w:r>
        <w:t>Aufgrund des Gesagten besteht keine Veranlassung, die angefochtene Verfügung aus formellen Gründen aufzuheben und die Sache an die Vor-instanz zurückzuweisen. Das diesbezügliche Rechtsbegehren ist abzuweisen.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Vorliegend ist den Akten zu entnehmen, dass der Beschwerdeführer am 23. November 2022 in Kroatien ein Asylgesuch gestellt hat (vgl. SEM-Akten [...]-11/1). Daraufhin stimmten die kroatischen Behörden dem Wiederaufnahmeersuchen der Vorinstanz am 15. Dezember 2022 gestützt auf Art. 20 Abs. 5 Dublin-III-VO zu und wiesen darauf hin, dass das Zuständigkeitsverfahren von ihnen fortgeführt werde (vgl. SEM-Akten [...]-23/1). Damit sind sowohl die Antragsstellung in Kroatien als auch der Umstand, dass das kroatische Verfahren zur Bestimmung des für das Asylgesuch des Beschwerdeführers zuständigen Mitgliedstaates gemäss Art. 20 Abs. 5 Dublin-III-VO noch nicht abgeschlossen wurde und nach einer Rücküberstellung des Beschwerdeführers fortgesetzt wird, als erstellt zu betrachten (vgl. hierzu etwa die Urteile des BVGer D-113/2023 vom 12. Januar 2023 E. 6, E-4341/2022 vom 8. Dezember 2022 E. 4.3, D-5623/2022 vom 12. Dezember 2022 E. 5 oder F-5543/2022 vom 7. Dezember 2022 E. 3.4).</w:t>
      </w:r>
    </w:p>
    <w:p>
      <w:r>
        <w:rPr>
          <w:b/>
        </w:rPr>
        <w:t>E. 6.2</w:t>
      </w:r>
    </w:p>
    <w:p>
      <w:r>
        <w:t>Dem unbewiesenen Einwand des Beschwerdeführers, er sei in Kroatien zur Abgabe seiner Fingerabdrücke sowie zur Stellung eines Asylgesuchs gezwungen worden (vgl. Beschwerde Ziff. 1.b), ist entgegen zu halten, dass sich die Abnahme der Fingerabdrücke von illegal einreisenden ausländischen Personen und Asylsuchenden auf Art. 14 Abs. 1 der Verordnung (EU) Nr. 603/2013 des Europäischen Parlaments und des Rats vom 26. Juni 2013 (Eurodac-Verordnung) stützt. Das Vorgehen der kroatischen Behörden ist damit insoweit nicht zu beanstanden. Im Übrigen ist nicht ersichtlich, weshalb er in Kroatien zur Stellung eines Asylgesuchs gezwungen worden sein sollte.</w:t>
      </w:r>
    </w:p>
    <w:p>
      <w:r>
        <w:rPr>
          <w:b/>
        </w:rPr>
        <w:t>E. 6.3</w:t>
      </w:r>
    </w:p>
    <w:p>
      <w:r>
        <w:t>Die grundsätzliche Zuständigkeit Kroatiens für die Durchführung des Asyl- und Wegweisungsverfahrens ist somit gegeben.</w:t>
      </w:r>
    </w:p>
    <w:p>
      <w:r>
        <w:rPr>
          <w:b/>
        </w:rPr>
        <w:t>E. 7.1</w:t>
      </w:r>
    </w:p>
    <w:p>
      <w:r>
        <w:t>Der Beschwerdeführer macht systematische Mängel im Asyl- und Aufnahmesystem Kroatiens geltend (vgl. Beschwerde Ziff. 2 und 3). Im Lichte von Art. 3 Abs. 2 Dublin-III-VO ist deshalb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w:t>
      </w:r>
    </w:p>
    <w:p>
      <w:r>
        <w:t>Wie die Vorinstanz zutreffend ausgeführt hat, ist Kroatien Signatarstaat der EMRK, des Übereinkommens vom 10. Dezember 1984 gegen Folter und andere grausame, unmenschliche oder erniedrigende Behandlung oder Strafe (FoK, SR 0.105) und des Abkommens über die Rechtsstellung der Flüchtlinge (FK, SR 0.142.30), des Zusatzprotokolls der FK vom 31. Januar 1967 (SR 0.142.301) sowie des Internationalen Übereinkommens zur Beseitigung jeglicher Form von Rassendiskriminierung vom 21. Dezember 1965 (SR 0.104)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Sodann hat die Vorinstanz im Sinne der Rechtsprechung des Bundesverwaltungsgerichts zutreffend dargelegt, dass aktuell im Bereich der Wiederaufnahmeverfahren keine Gründe für die Annahme vorliegen, das Asylverfahren (inklusive Zuständigkeitsverfahren) und die Aufnahmebedingungen für Antragstellende in Kroatien würden systemische Schwachstellen im Sinne von Art. 3 Abs. 2 Sätze 2 und 3 Dublin-III-VO aufweisen (vgl. bspw. Urteile des BVGer E-5427/2022 vom 1. Dezember 2022 E. 5.2; D-4865/2022 vom 2. November 2022 E. 5.4; F-3957/2022 vom 11. Oktober 2022 E. 5; F-4002/2022 vom 26. September 2022 E. 7.2; F-3903/2022 vom 16. September 2022 E. 4; F-3448/2022 vom 22. August 2022 E. 6.2).</w:t>
      </w:r>
    </w:p>
    <w:p>
      <w:r>
        <w:rPr>
          <w:b/>
        </w:rPr>
        <w:t>E. 7.3</w:t>
      </w:r>
    </w:p>
    <w:p>
      <w:r>
        <w:t>Weiter ist die Vorinstanz unter Verweis auf Abklärungen durch die Schweizer Botschaft in Kroatien zu Recht zum Schluss gekommen, dass Personen, welche im Rahmen eines Dublin-Verfahrens nach Kroatien zurückgeführt werden, nicht von der problematischen "Push-back"-Praxis betroffen sind (vgl. bspw. Urteil des BVGer E-5787/2022 vom 19. Dezember 2022 E. 7.4 m.w.H.).</w:t>
      </w:r>
    </w:p>
    <w:p>
      <w:r>
        <w:rPr>
          <w:b/>
        </w:rPr>
        <w:t>E. 7.4</w:t>
      </w:r>
    </w:p>
    <w:p>
      <w:r>
        <w:t>Für eine Änderung der Rechtsprechung besteht auch in Würdigung der vom Beschwerdeführer gemachten Äusserungen zu seiner Behandlung in Kroatien, der zitierten Berichte und des Verweises auf die Rechtsprechung deutscher Gerichte (vgl. Beschwerde Ziff. 2 und 3) keine Veranlassung. Unter diesen Umständen ist die Anwendung von Art. 3 Abs. 2 Dublin-III-VO nicht gerechtfertigt.</w:t>
      </w:r>
    </w:p>
    <w:p>
      <w:r>
        <w:rPr>
          <w:b/>
        </w:rPr>
        <w:t>E. 8.1</w:t>
      </w:r>
    </w:p>
    <w:p>
      <w:r>
        <w:t>Weiter ist der Frage nachzugehen, ob - wie vom Beschwerdeführer geltend gemacht (vgl. Beschwerde Ziff. 2) - völkerrechtliche Vollzugshindernisse nach Art. 3 EMRK bestehen, woraus sich zwingende Gründe für einen Selbsteintritt nach Art. 17 Abs. 1 Dublin-III-VO ergeben würden.</w:t>
      </w:r>
    </w:p>
    <w:p>
      <w:r>
        <w:rPr>
          <w:b/>
        </w:rPr>
        <w:t>E. 8.2</w:t>
      </w:r>
    </w:p>
    <w:p>
      <w:r>
        <w:t>In Übereinstimmung mit der Vorinstanz ist festzuhalten, dass der Beschwerdeführer kein konkretes und ernsthaftes Risiko dargetan hat, die kroatischen Behörden würden sich weigern, ihn wiederaufzunehmen und seinen Antrag auf internationalen Schutz unter Einhaltung der Regeln der Verfahrensrichtlinie zu prüfen. Entgegen der Ansicht des Beschwerdeführers sind den Akten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Der Beschwerdeführer hat auch keine konkreten Hinweise für die Annahme dargetan, Kroatien würde ihm dauerhaft die im gemäss Aufnahmerichtlinie zustehenden minimalen Lebensbedingungen vorenthalten. Bei einer allfälligen vorübergehenden Einschränkung wäre er im Übrigen nötigenfalls gehalten, sich an die dortigen Behörden zu wenden und die ihm zustehenden Aufnahmebedingungen auf dem Rechtsweg einzufordern (vgl. Art. 26 Aufnahmerichtlinie). Dies gilt auch in Bezug auf die geltend gemachte Gewalt seitens der kroatischen Behörden.</w:t>
      </w:r>
    </w:p>
    <w:p>
      <w:r>
        <w:rPr>
          <w:b/>
        </w:rPr>
        <w:t>E. 8.3</w:t>
      </w:r>
    </w:p>
    <w:p>
      <w:r>
        <w:t>Der Vorinstanz ist ferner zuzustimmen, dass sich die im vorinstanzlichen Verfahren diagnostizierten (...) (vgl. Prozessgeschichte, Bst. F.b) und die auch auf Beschwerdeebene unbelegten (...) (vgl. Beschwerde Ziff. 1.b) nicht als so schwerwiegend darstellen,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m.w.H.). Dasselbe hat für die erstmals auf Beschwerdeebene vorgebrachten (...) (vgl. Beschwerde Ziff. 1.c) zu gelten. Im Übrigen ist darauf hinzuweisen, dass Kroatien grundsätzlich über eine ausreichende medizinische Infrastruktur verfügt (vgl. Urteil des BVGer D-735/2022 vom 28. Februar 2022 E. 6.7.3) und als Mitgliedstaat verpflichtet ist, dem Beschwerdeführer bei Bedarf die notwendige medizinische Behandlung zukommen zu lassen (Art. 19 Abs. 1 und 2 Aufnahmerichtlinie). Entgegen der auf Beschwerdeebene vertretenen Ansicht liegen keine Hinweise vor, wonach Kroatien dem Beschwerdeführer eine adäquate medizinische Behandlung verweigert hätte oder verweigern würde. Etwas anderes ergibt sich auch nicht aus dem in der Beschwerde zitierten Bericht (vgl. Beschwerde Ziff. 1.c), zumal nicht bestritten wird, dass der Zugang zu einer angemessenen Behandlung in Kroatien unter Umständen erschwert sein kann.</w:t>
      </w:r>
    </w:p>
    <w:p>
      <w:r>
        <w:rPr>
          <w:b/>
        </w:rPr>
        <w:t>E. 8.4</w:t>
      </w:r>
    </w:p>
    <w:p>
      <w:r>
        <w:t>Nach dem Gesagten ist die Überstellung nach Kroatien unter Beachtung der massgeblichen völkerrechtlichen Bestimmungen als zulässig zu erkennen, womit keine zwingenden Gründe für einen Selbsteintritt auf das Asylgesuch des Beschwerdeführers nach Art. 17 Abs. 1 Dublin-III-VO ersichtlich sind.</w:t>
      </w:r>
    </w:p>
    <w:p>
      <w:r>
        <w:rPr>
          <w:b/>
        </w:rPr>
        <w:t>E. 9</w:t>
      </w:r>
    </w:p>
    <w:p>
      <w:r>
        <w:t>Soweit der Beschwerdeführer schliesslich das Vorliegen von "humanitären Gründen" geltend macht (vgl. Beschwerde Ziff. 2), ist festzuhalten, dass der Vorinstanz bei der Anwendung von Art. 29a Abs. 3 AsylV 1 Ermessen zukommt (vgl. BVGE 2015/9 E. 7 f.), wobei den Akten keine Hinweise auf eine gesetzeswidrige Ermessensausübung (vgl. Art. 106 Abs. 1 Bst. a AsylG) durch die Vorinstanz zu entnehmen sind. Unter diesen Umständen enthält sich das Bundesverwaltungsgericht weiterer Ausführungen zur Frage eines Selbsteintritts.</w:t>
      </w:r>
    </w:p>
    <w:p>
      <w:r>
        <w:rPr>
          <w:b/>
        </w:rPr>
        <w:t>E. 10</w:t>
      </w:r>
    </w:p>
    <w:p>
      <w:r>
        <w:t>Die Vorinstanz ist somit zu Recht von der Zuständigkeit Kroatiens ausgegangen und in Anwendung von Art. 31a Abs. 1 Bst. b AsylG auf das Asylgesuch des Beschwerdeführers zu Recht nicht eingetreten. Da der Beschwerdeführer nicht im Besitz einer gültigen Aufenthalts- oder Niederlassungsbewilligung ist, wurde die Überstellung nach Kroatien in Anwendung von Art. 44 AsylG ebenfalls zu Recht angeordnet (Art. 32 Bst. a AsylV 1).</w:t>
      </w:r>
    </w:p>
    <w:p>
      <w:r>
        <w:rPr>
          <w:b/>
        </w:rPr>
        <w:t>E. 11</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12</w:t>
      </w:r>
    </w:p>
    <w:p>
      <w:r>
        <w:t>Nach dem Gesagten ist die Beschwerde abzuweisen und die Verfügung der Vorinstanz zu bestätigen. Das Beschwerdeverfahren ist mit vorliegendem Urteil abgeschlossen, weshalb sich der Antrag auf Gewährung der aufschiebenden Wirkung als gegenstandslos erweist.</w:t>
      </w:r>
    </w:p>
    <w:p>
      <w:r>
        <w:rPr>
          <w:b/>
        </w:rPr>
        <w:t>E. 13.1</w:t>
      </w:r>
    </w:p>
    <w:p>
      <w:r>
        <w:t>Der Beschwerdeführer beantragt die Gewährung der unentgeltlichen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