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D-4126/2014 vom 7. August 2014</w:t>
      </w:r>
    </w:p>
    <w:p>
      <w:r>
        <w:t>Bundesverwaltungsgericht, 2014-08-07, DE</w:t>
      </w:r>
    </w:p>
    <w:p>
      <w:r>
        <w:rPr>
          <w:b/>
        </w:rPr>
        <w:t xml:space="preserve">Quelle: </w:t>
      </w:r>
      <w:r>
        <w:t>https://mcp.opencaselaw.ch/entscheid/bvger_D-4126_2014</w:t>
      </w:r>
    </w:p>
    <w:p>
      <w:r>
        <w:t>FR: TAF D-4126/2014 du 7 août 2014</w:t>
      </w:r>
    </w:p>
    <w:p>
      <w:r>
        <w:t>IT: TAF D-4126/2014 del 7 agosto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von Ziff. 1.3 - einzutreten.</w:t>
      </w:r>
    </w:p>
    <w:p>
      <w:r>
        <w:rPr>
          <w:b/>
        </w:rPr>
        <w:t>E. 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5</w:t>
      </w:r>
    </w:p>
    <w:p>
      <w:r>
        <w:t>Nachfolgend ist zu prüfen, ob das BFM das Asylgesuch der Beschwerdeführerin zu Recht abgelehnt hat.</w:t>
      </w:r>
    </w:p>
    <w:p>
      <w:r>
        <w:rPr>
          <w:b/>
        </w:rPr>
        <w:t>E. 5.1</w:t>
      </w:r>
    </w:p>
    <w:p>
      <w:r>
        <w:t>Das BFM erachtete die Vorbringen der Beschwerdeführerin bezüglich des Aufenthalts in Afghanistan und im Iran, bezüglich der vereitelten Zwangsheirat zwischen ihrer Tochter und deren Cousin und bezüglich der Dokumentbeschaffung für unglaubhaft. Um unnötige Wiederholungen zu vermeiden, wird auf die entsprechenden Erwägungen verwiesen.</w:t>
      </w:r>
    </w:p>
    <w:p>
      <w:r>
        <w:rPr>
          <w:b/>
        </w:rPr>
        <w:t>E. 5.2</w:t>
      </w:r>
    </w:p>
    <w:p>
      <w:r>
        <w:t>Die Beschwerdeführerin lässt in der Beschwerde was folgt ausführen: Bei der Aussage, dass sie die Ausreisedokumente für sich und ihre Tochter hinter dem Rücken des Ehemannes beschafft habe, könne es sich um ein Missverständnis oder einen Übersetzungsfehler handeln, der Ehemann habe gewusst, dass das Mutter-Tochter-Gespann eine Pilgerreise in den Iran geplant habe. Die unterschiedliche Darstellung der Aufenthaltsdauer im Iran und in Afghanistan sei darauf zurückzuführen, dass die Ereignisse einige Jahre zurücklägen und die Bundesanhörung (recte) erst zwei Jahre nach der Einreise der Beschwerdeführerin in die Schweiz stattgefunden habe. Es sei nachvollziehbar, dass sie sich an gewisse zeitliche Daten ebenso wenig erinnern könne wie an die Art und Weise und den Zeitpunkt des offiziellen Heiratsantrags durch den Schwager, schliesslich habe sie unter enormem psychischen Druck seitens ihres Ehemannes und ihrer Schwager gestanden. Ferner wird geltend gemacht, das BFM habe bei der Prüfung der Glaubwürdigkeit die falschen Massstäbe angewendet und den Umstand ausser Acht gelassen, dass die Aussagen der Beschwerdeführerin ausführlich, substantiiert und in weiten Teilen widerspruchlos seien</w:t>
      </w:r>
    </w:p>
    <w:p>
      <w:r>
        <w:rPr>
          <w:b/>
        </w:rPr>
        <w:t>E. 5.3</w:t>
      </w:r>
    </w:p>
    <w:p>
      <w:r>
        <w:t>In Übereinstimmung mit der vorinstanzlichen Verfügung vom 25. Juni 2014 kommt das Bundesverwaltungsgericht zum Schluss, dass die geltend gemachten Fluchtgründe nicht als glaubhaft zu betrachten sind. Um unnötige Wiederholungen zu vermeiden, wird auf die in der erwähnten Verfügung enthaltenen Erwägungen und die zutreffende Argumentation der Vorinstanz verwiesen. Darüber hinaus hat die Beschwerdeführerin anlässlich der Befragung zur Person vom 19. Juli 2012 (fortan BzP) behauptet, Analphabetin zu sein, weshalb sie das im Empfangszentrum erhaltene Merkblatt nicht habe lesen können (A6, S. 2). Hingegen gab sie anlässlich der Anhörung nach Art. 29 Abs. 1 AsylG vom 28. April 2014 (fortan Anhörung), nach ihrer Schulbildung befragt, an, während ca. fünf Jahren die Schule besucht zu haben (A19, S. 4) und bemerkte, sie habe den Namen auf einer Identitätskarte und einem Flugticket nicht lesen können, weil die Dokumente in einer ihr unbekannten Sprache ausgestellt worden seien. Nach der allgemeinen Erfahrung ist eine Person, welche während fünf Jahren die Schule besucht hat, keine Analphabetin. Allfällige Zweifel am Ausgeführten räumt die Beschwerdeführerin selber aus, wenn sie mangelnde Sprachkenntnisse als Hürde für die Lektüre von Ausweis- bzw. Reisedokumenten anführt. Wäre die Beschwerdeführerin tatsächlich Analphabetin, wäre sie ausserstande, die geschriebene Fremdsprache von der geschriebenen Muttersprache zu unterscheiden. Auch über ihre Ausweis- bzw. Ausreisedokumente gab die Beschwerdeführerin Unterschiedliches zu Protokoll. So verneinte sie anlässlich der BzP, je ein Visum für ein fremdes Land erhalten zu haben (A6, S. 5), will jedoch mit einem Pilgervisum in den Iran gereist sein (A19, S. 5). Im Iran habe sie nicht einmal einen Pass gehabt (A6, S. 5), in den Iran eingereist sein will sie jedoch mit einem afghanischen Pass (A6, S. 7). Zusammengefasst ist festzuhalten, dass sich die Beschwerdeführerin in Bezug auf ihre Schuldbildung, auf ihre Aufenthaltsdauer im Iran und in Afghanistan, in Bezug auf die Dokumentenbeschaffung und in Bezug auf die Umstände ihrer Ausreise in Widersprüche verwickelt hat. Diese sind zu zahlreich und zu erheblich, als dass sie sich durch Missverständnisse oder Fehler bei der Übersetzung erklären liessen. Entgegen den Ausführungen der Rechtsvertreterin haben sich die Aussagen der Beschwerdeführerin im Laufe des Verfahrens als alles andere als ausführlich, substantiiert und in weiten Teilen widerspruchlos herausgestellt. Aus den dargelegten Gründen vermögen die Asylvorbringen der Beschwerdeführerin den Anforderungen an das Glaubhaftmachen gemäss Art. 7 AsylG demnach nicht zu genügen.</w:t>
      </w:r>
    </w:p>
    <w:p>
      <w:r>
        <w:rPr>
          <w:b/>
        </w:rPr>
        <w:t>E. 5.4</w:t>
      </w:r>
    </w:p>
    <w:p>
      <w:r>
        <w:t>Angesichts der Unglaubhaftigkeit der Asylvorbringen erübrigt sich die Prüfung deren Asylrelevanz.</w:t>
      </w:r>
    </w:p>
    <w:p>
      <w:r>
        <w:rPr>
          <w:b/>
        </w:rPr>
        <w:t>E. 6</w:t>
      </w:r>
    </w:p>
    <w:p>
      <w:r>
        <w:t>Aus diesen Erwägungen ergibt sich, dass die angefochtene Verfügung Bundesrecht nicht verletzt und den rechtserheblichen Sachverhalt richtig und vollständig feststellt (Art. 106 AsylG). Die Beschwerde ist nach dem Gesagten abzuweisen.</w:t>
      </w:r>
    </w:p>
    <w:p>
      <w:r>
        <w:rPr>
          <w:b/>
        </w:rPr>
        <w:t>E. 7</w:t>
      </w:r>
    </w:p>
    <w:p>
      <w:r>
        <w:t>Das Gesuch um Gewährung der unentgeltlichen Rechtspflege im Sinne von Art. 65 Abs. 1 VwVG ist infolge Aussichtlosigkeit der Beschwerdebegehren ebenfalls abzuweisen.</w:t>
      </w:r>
    </w:p>
    <w:p>
      <w:r>
        <w:rPr>
          <w:b/>
        </w:rPr>
        <w:t>E. 8</w:t>
      </w:r>
    </w:p>
    <w:p>
      <w:r>
        <w:t>Bei diesem Ausgang des Verfahrens sind die Kosten der Beschwerdeführerin aufzuerlegen (Art. 63 Abs. 1 VwVG) und auf insgesamt Fr. 600.- festzusetzen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