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D-4124/2010 vom 19. August 2011</w:t>
      </w:r>
    </w:p>
    <w:p>
      <w:r>
        <w:t>Bundesverwaltungsgericht, 2011-08-19, DE</w:t>
      </w:r>
    </w:p>
    <w:p>
      <w:r>
        <w:rPr>
          <w:b/>
        </w:rPr>
        <w:t xml:space="preserve">Quelle: </w:t>
      </w:r>
      <w:r>
        <w:t>https://mcp.opencaselaw.ch/entscheid/bvger_D-4124_2010</w:t>
      </w:r>
    </w:p>
    <w:p>
      <w:r>
        <w:t>FR: TAF D-4124/2010 du 19 août 2011</w:t>
      </w:r>
    </w:p>
    <w:p>
      <w:r>
        <w:t>IT: TAF D-4124/2010 del 19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Nachdem der erhobene Kostenvorschuss fristgerecht eingezahlt wurde, ist auf die frist- und formgerecht (Art. 108 Abs. 1 AsylG; Art. 105 AsylG i.V.m. Art. 37 VGG und Art. 52 Abs. 1 VwVG) eingereichte Beschwerde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 zur Begründung seines Entscheides aus, der LIN­GUA-Experte habe ausgeführt, der Beschwerdeführer habe, obwohl er in Libyen die Schule bis zur Mittelschule besucht habe, nur wenige überzeu­gende Antworten zu politischen und kulturellen Gegebenheiten Libyens gegeben. Gemäss dem Experten habe die Hauptsozialisation nicht in Li­byen stattgefunden. Auch eine Sozialisation in einem palästinensischen Milieu sei ausgeschlossen worden. Die Sprache und die Unkenntnis der genauen Lage der Palästinenser im Libanon und in den libanesischen Lagern sprächen, wie auch der Umstand, dass seine Mutter eine Libanesin sei, eher dafür, dass er Libanese sei. Es sei dem Beschwerdeführer nicht gelungen, die vom Experten aufgestellte Herkunftsvermutung zu widerlegen. Er habe im Gegenteil betont, dass er in C._______ oft mit Libanesen zusammen gewesen sei. Er habe aber Dokumente zu den Akten gelegt, die seine palästinensische Herkunft beweisen sollten. Identifikationsausweise für palästinensische Flüchtlinge im Libanon oder Ersatzreisepapiere hätten keinen grossen Beweiswert, da sie grossmehrheitlich gefälscht und leicht erhältlich seien. Die UNRWA-Karte enthalte keine Fotografie, so dass sie als Identitätsdoku­ment ungeeignet sei. Die Dokumente könnten deshalb die in der Analyse vorgenommene Schlussfolgerung nicht entkräften. Der Beschwerdeführer sei nicht in der Lage gewesen, das Verschwinden seines Bruders, das der Hamas angelastet werde, zu erklären. Er habe weder Details nennen noch das Ereignis genauer datieren können. Er wolle von der Hamas zweimal bedroht worden sei, nachdem diese bei ihm vorgesprochen habe. Er habe keine Namen nennen, keine Gesprächsinhalte oder Interaktionen nachstellen geschweige denn die Ereignisse minutiös schildern können. Obwohl die Hamasleute seinetwe­gen mehrmals erschienen seien, habe er keine persönlichen Erinnerun­gen schildern können. Er habe nicht schildern können, weshalb er von Unbekannten als Palästinenser angesprochen worden sei.</w:t>
      </w:r>
    </w:p>
    <w:p>
      <w:r>
        <w:rPr>
          <w:b/>
        </w:rPr>
        <w:t>E. 5.2</w:t>
      </w:r>
    </w:p>
    <w:p>
      <w:r>
        <w:t>Zudem habe der Beschwerdeführer sich auch widersprüchlich geäussert. Bei der Erstbefragung habe er gesagt, er sei von der Hamas und der "Os­bet Al-Ansar" verfolgt und bedroht worden, während er bei der Anhörung relativiert habe, er sei von Letzterer nie bedroht worden oder unter Druck gesetzt worden. Ein weiterer Widerspruch betreffe die Datierung der ers­ten Drohung durch die Hamas. In der Erstbefragung habe er gesagt, die­ses Ereignis habe sich im Mai/Juni 2008 zugetragen, während er in der Bundesanhörung von Februar 2008 gesprochen habe.</w:t>
      </w:r>
    </w:p>
    <w:p>
      <w:r>
        <w:rPr>
          <w:b/>
        </w:rPr>
        <w:t>E. 5.3</w:t>
      </w:r>
    </w:p>
    <w:p>
      <w:r>
        <w:t>In der Beschwerde wird geltend gemacht, in der LINGUA-Analyse werde eine Annahme getroffen. Tatsache sei, dass der Beschwerdeführer Sohn eines Palästinensers sei, der mit seiner Familie von Palästina nach Libyen gezogen sei. Unter Berücksichtigung der Tatsache, dass der Be­schwerdeführer Sohn einer Libanesin sei, sei klar, dass er stark vom libanesischen Milieu beeinflusst worden sei. Die Vorinstanz gehe in Miss­achtung eines geregelten Verfahrens von seiner Beweislast aus; er solle deren Herkunftsvermutung widerlegen, was unhaltbar sei. Er habe verschiedene Dokumente zum Beweis seiner Herkunft eingereicht, die aber von der Vorinstanz nicht akzeptiert würden. Sie könne aber keinen Nachweis dafür erbringen, dass die Dokumente nicht echt seien. Die Karte der UNRWA enthalte tatsächlich keine Fotografie, was kein Beweis für eine Fälschung sei. Es sei unklar, auf welche Aussagen sich die Vorinstanz beziehe, wenn sie diese als zu wenig konkret, detailliert und differenziert bezeichne. Sie gebe keine Fundstellen an, so dass eine Überprüfung der Vorwürfe stark erschwert werde. Es treffe zu, dass der Beschwerdeführer das Verschwinden seines Bruders nicht eindeutig der Hamas zuschreiben könne. Seine Familie gehe aber davon aus, dass die Hamas dafür verant­wortlich sei. Auch seine eigenen Kontakte zur Hamas könne er nicht so schildern, wie es die Vorinstanz erwarte. Es sei nachvollziehbar, dass er keine Namen nennen könne. Er könne keine Gesprächsinhalte nennen, da keine Gespräche geführt worden seien. Er könne sagen, weshalb er als Palästinenser angesprochen worden sei. Seine Familie sei in Palästinenserkreisen bekannt. Schon sein Vater sei von der Hamas unter Druck gesetzt worden, sein Bruder sei von dieser verschleppt worden. Er sei der Hamas also bekannt. Von der "Osbet Al-Ansar" sei er nicht be­droht, aber unter Druck gesetzt worden. Seine Familie stehe dieser Organisation nahe und so sei es verständlich, dass diese erwarte, dass er für sie tätig werde. Er habe dies abgelehnt. Der von der Vorinstanz gel­tend gemachte Widerspruch sei aufgrund eines Missverständnisses zu­stande gekommen. Es treffe zu, dass er das Ereignis mit der Messerstecherei unterschiedlich datiert habe. In der Anhörung sei ihm be­wusst geworden, dass seine Ausführungen in der Erstbefragung nicht richtig gewesen seien, weshalb er sich bemüht habe, die Datierung ge­nau zu erfassen.</w:t>
      </w:r>
    </w:p>
    <w:p>
      <w:r>
        <w:rPr>
          <w:b/>
        </w:rPr>
        <w:t>E. 5.4</w:t>
      </w:r>
    </w:p>
    <w:p>
      <w:r>
        <w:t>Das BFM führt in der Vernehmlassung aus, der Beschwerdeführer habe zahlreiche Dokumente zu den Akten gereicht, die allesamt leicht zu fälschen oder käuflich seien. Es seien keine Originale eingereicht worden. Zudem habe er für sich keine solchen Dokumente abgegeben, die als In­diz für die behauptete Herkunft hätten herangezogen werden können. So bleibe er weiterhin schriftenlos und seine Identität sei nicht gesichert. Er habe bei der Erstbefragung vom 17. Juni 2009 eine Schwester namens B._______ genannt, die vier oder sechs Jahre jünger sei als er. Er habe vermutet, diese lebe in der Heimat, weil er seit 2005 nichts mehr von ihr gehört habe. Die in der Beschwerdeschrift erwähnte B._______ mit Ausländerausweis C sei aber seit dem Jahr 2003 in der Schweiz und zwei Jahre jünger als er.</w:t>
      </w:r>
    </w:p>
    <w:p>
      <w:r>
        <w:rPr>
          <w:b/>
        </w:rPr>
        <w:t>E. 6.1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6.2</w:t>
      </w:r>
    </w:p>
    <w:p>
      <w:r>
        <w:t>Der Beschwerdeführer machte geltend, sein Vater sei palästinensi­scher Abstammung, seine Mutter sei Libanesin. Er sei in Libyen geboren worden und dort aufgewachsen. Im Jahr 2001 sei die Familie in den Liba­non zurückgekehrt, wo er bis zu seiner Ausreise im Oktober 2008 in C._______ gelebt habe. Der Experte, der die Herkunftsanalyse erstellte, gelangte zum Schluss, der Beschwerdeführer sei sehr wahrscheinlich hauptsächlich in einem libanesischen Milieu und sehr wahrscheinlich nicht in einem libyschen oder palästinensischen Milieu sozialisiert worden. Der Beschwerdeführer bestritt bei der Gewährung des rechtlichen Gehörs denn auch nicht, dass er im Libanon im libanesischen Milieu sozialisiert gewesen sei. Er habe in einer Zone gelebt, in der in libanesischem Dialekt gesprochen worden sei und habe sich dieser Sprache bedient. Es sei klar, dass er das libanesische Milieu besser als das palästinensische kenne, da er nicht in einem Camp gelebt habe (act. A26/12 S. 9). Der Beschwerdeführer reichte bereits bei der Vorinstanz Dokumente zu den Akten, die seine Angaben zu seiner Herkunft bestätigen. Insbeson­dere dem Identifikationsausweis für palästinensische Flüchtlinge und dem Ersatz- beziehungsweise Bestätigungspapier sind entsprechende Anga­ben zu entnehmen. Das BFM stellte sich auf den Standpunkt, Dokumente der eingereichten Art seien grossmehrheitlich gefälscht und hätten keinen grossen Beweiswert. Die eingereichten Dokumente könnten deshalb die Schlussfolgerung der LINGUA-Analyse nicht entkräften. Der LINGUA-Analyse kann indessen nicht entnommen werden, ob die Behauptung des Beschwerdeführers, sein Vater sei palästinensischer Abstammung, zutref­fend sein kann oder nicht. Der Analyse ist zu entnehmen, der Beschwerdeführer sei sehr wahrscheinlich hauptsächlich in einem libanesischen Milieu sozialisiert worden, was sich mit den Angaben des Be­schwerdeführers deckt. Auf Beschwerdeebene wurden (Farb-)Kopien von insgesamt 23 Dokumenten zu den Akten gereicht. Dabei handelt es sich grossmehrheitlich um Kopien von Pässen, Identitätskarten und weiteren Ausweisen seiner Eltern, Geschwister und Grosseltern. Die vom BFM in der Vernehmlassung vertretene Auffassung, auch diese Dokumente seien allesamt leicht fälschbar oder käuflich erhältlich, vermag angesichts der konkreten Aktenlage nicht zu überzeugen. Die abgegebenen Kopien sind teilweise von sehr guter Qualität und erwecken insgesamt nicht den Eindruck als lägen ihnen allesamt gefälschte Originaldokumente zugrunde. Zahlreiche Details in den Kopien vermitteln den Eindruck, dass es sich bei den ihnen zugrunde liegenden Originaldokumenten um echte Identitätspapiere der Angehörigen des Beschwerdeführers handelt. Eine unvoreingenommene Würdigung der zahlreichen eingereichten Dokumentenkopien lässt somit den Schluss zu, dass der Beschwerdeführer zu seiner gemischt-ethnischen Abstammung zutreffende Angaben machte. Diese Folgerung steht keineswegs im Widerspruch zum Ergebnis der LINGUA-Analyse.</w:t>
      </w:r>
    </w:p>
    <w:p>
      <w:r>
        <w:rPr>
          <w:b/>
        </w:rPr>
        <w:t>E. 6.3</w:t>
      </w:r>
    </w:p>
    <w:p>
      <w:r>
        <w:t>Der Beschwerdeführer machte bei der Erstbefragung geltend, er habe den Libanon verlassen, weil er von Anhängern der Hamas und der "Osbet Al-Ansar" aufgefordert worden sei, an ihrer Seite zu kämpfen. Sie hätten ihm auch gedroht (act. A1/15 S. 8). Sein Bruder habe den Libanon verlassen beziehungsweise sei seit dem Jahr 2006 verschwunden, sie hätten nichts mehr von ihm gehört (act. A1/15 S. 5 und 8). Bei einer Rückkehr in den Libanon würden sie ihn töten (act. A1/15 S. 9). Bei der Anhörung sagte er aus, er habe den Libanon verlassen, weil er von zwei Gruppierungen verfolgt worden sei. Die "Osbet Al-Ansar" habe ihn dazu gedrängt, dass er sich ihr anschliesse. Sein Vater sei dagegen gewesen, da sie seit 2006 nichts über das Schicksal seines Bruders wüssten. Er (der Beschwerdeführer) sei von diesen Leuten mehrmals angegriffen wor­den (act. A26/12 S. 3). Im Februar 2008 sei er von Leuten der Hamas mit einem Messer angegriffen worden, als er sich auf der Strasse befunden habe. Zirka einen Monat später hätten sie ihn mit Waffen bedroht, als er bei einer Tankstelle gewesen sei (act. A26/12 S. 4 f.). Im weiteren Verlauf der Anhörung gab er an, er sei von den Leuten der "Osbet Al-Ansar" nie bedroht worden, da einige von diesen seiner Familie angehörten (act. A26/12 S. 7). Das BFM stellte in der angefochtenen Verfügung zutreffend fest, dass der Beschwerdeführer sich widersprüchlich dazu äusserte, ob er von Anhän­gern der "Osbet Al-Ansar" bedroht worden sei oder nicht. Da er in der Be­schwerde festhält, er sei von dieser Organisation nicht bedroht, sondern "nur" unter Druck gesetzt worden, erübrigen sich weitere Ausführungen dazu. Auch zum Schicksal seines älteren Bruders machte der Beschwerdefüh­rer voneinander abweichende Angaben. Bei der Erstbefragung machte er einerseits geltend, sein Bruder sei 2006 verschwunden, anderseits führte er aus, sein Bruder habe den Libanon verlassen. Im Rahmen der Anhö­rung gab er wiederum an, sein Bruder sei verschwunden. In der Be­schwerde wird ausgeführt, der Beschwerdeführer gehe davon aus, dass die Hamas für das Verschwinden seines Bruders verantwortlich sei. Es steht somit nicht fest, welchen Hintergrund das Verschwinden des älteren Bruders hat. Der Beschwerdeführer gab bei der Erstbefragung vom 17. Juni 2009 an, seine Schwester B._______ habe im Jahr 2005 geheiratet, seither habe er nichts mehr von ihr gehört (act. A1/15 S. 5). Am 6. September 2010 teilte er dem Bundesverwaltungsgericht mit, seine Schwester lebe in der Schweiz. Gemäss Angaben des BFM befindet sich Frau B._______ seit Januar 2003 in der Schweiz. Aufgrund dieses Umstandes und der entsprechenden Aussagen bei der Kurzbefragung ist nicht auszuschliessen, dass auch der ältere Bruder des Beschwerdeführers den Libanon verliess, ohne seine Familie darüber zu orientieren. Was die geltend gemachten Nachstellungen durch die Hamas anbelangt, hat sich der Beschwerdeführer insofern widersprüchlich geäussert, als er bei der Anhörung angab, bevor er von Angehörigen derselben im Jahr 2008 verletzt und bedroht worden sei, sei es zu keinen Begegnungen oder Kontakten mit der Hamas gekommen (act. A26/12 S. 5 R32). Kurz darauf erklärte er indessen, die Hamas-Leute seien über zehnmal zu ihm nach Hause gekommen und hätten mit seinem Vater und ihm gesprochen (act. A26/12 S. 6). Hingegen hat der Beschwerdeführer die Fragen, die ihm zu den beiden Vorfällen mit der Hamas gestellt wurden, befriedigend beantwortet (act. A26/12 S. 4 f.). Auf eine abschliessende Beurteilung der Glaubhaftigkeit der geltend gemachten Bedrohungen durch die Hamas kann indessen aufgrund der nachfolgenden Erwägungen zur asylrechtli­chen Relevanz verzichtet werden.</w:t>
      </w:r>
    </w:p>
    <w:p>
      <w:r>
        <w:rPr>
          <w:b/>
        </w:rPr>
        <w:t>E. 7</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 Aufl., Basel/Bern/Lausanne 2009, Rz. 11.17 und 11.18).</w:t>
      </w:r>
    </w:p>
    <w:p>
      <w:r>
        <w:rPr>
          <w:b/>
        </w:rPr>
        <w:t>E. 7.1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7.2</w:t>
      </w:r>
    </w:p>
    <w:p>
      <w:r>
        <w:t>Hinsichtlich der geschilderten Probleme mit der Hamas ist - unbese­hen der Glaubhaftigkeit dieser Vorbringen - davon auszugehen, dass der Beschwerdeführer allfälligen Nachstellungen durch Verlegung seines Wohnsitzes entgehen könnte. Bei der Anhörung räumte er selbst ein, er werde wahrscheinlich keine Probleme haben, falls er sich nach einer Rückkehr in den Libanon ausserhalb C._______ niederliesse (act. A26/12 S. 7 R60). Seine Befürchtung, er werde aufgrund seiner palästinensi­schen Herkunft keine Anstellung erhalten, ist asylrechtlich unerheblich, und im Übrigen in dieser absoluten Form ohnehin übertrieben, da er dank seiner beruflichen Erfahrungen und des verwandtschaftlichen Beziehungsnetzes im Falle der Rückkehr kaum in eine wirtschaftlich hoffnungslose Lage geraten wird. Es besteht zudem kein Grund zur Annahme, die staatlichen libanesischen Sicherheits- und Justizbehörden seien im Allgemeinen beziehungsweise gegenüber der Person des Be­schwerdeführers im Besonderen nicht schutzfähig oder schutzwillig. Es kann ihm zudem ohne weiteres zugemutet werden, im Bedarfsfall den Schutz der Behörden gegen allfällige Übergriffe von Leuten der Hamas in Anspruch zu nehmen.</w:t>
      </w:r>
    </w:p>
    <w:p>
      <w:r>
        <w:rPr>
          <w:b/>
        </w:rPr>
        <w:t>E. 7.3</w:t>
      </w:r>
    </w:p>
    <w:p>
      <w:r>
        <w:t>In der Beschwerde wurde festgehalten, dass der Beschwerdeführer von Seiten der "Osbet Al-Ansar" weder bedroht noch Übergriffen ausge­setzt wurde. Er sei hingegen unter Druck gesetzt worden, dieser Organisation beizutreten. Vor diesem Hintergrund ist nicht anzunehmen, dass er nach einer Rückkehr in den Libanon von deren Anhängern in asylrechtlich relevanter Weise verfolgt werden wird. Zudem ist auch in dieser Hinsicht darauf hinzuweisen, dass es dem Beschwerdeführer offen stünde, durch Verlegung seines Domizils den entsprechenden Druckversuchen zu entgehen. Letztlich wäre es ihm auch möglich, sich an die libanesischen Behörden zu wenden, sollten die Druckversuche wider erwarten zunehmen.</w:t>
      </w:r>
    </w:p>
    <w:p>
      <w:r>
        <w:rPr>
          <w:b/>
        </w:rPr>
        <w:t>E. 7.4</w:t>
      </w:r>
    </w:p>
    <w:p>
      <w:r>
        <w:t>Insofern der Beschwerdeführer geltend machte, er sei als Palästinen­ser in einigen Bereichen diskriminiert worden, ist festzustellen, dass die von ihm genannten Benachteiligungen (vgl. act. A26/12 S. 3 R10) ihm ein menschenwürdiges Leben im Libanon nicht unzumutbar erschweren. Seine Eltern und einige seiner Geschwister leben weiterhin im Libanon und seinem Vater ist es offenbar gelungen, für die ganze Familie zu sor­gen. Die Einschränkungen in den persönlichen Entfaltungsmöglichkeiten erreichen klarerweise nicht das Niveau ernsthafter Nachteile im Sinn von Art. 3 AsylG.</w:t>
      </w:r>
    </w:p>
    <w:p>
      <w:r>
        <w:rPr>
          <w:b/>
        </w:rPr>
        <w:t>E. 7.5</w:t>
      </w:r>
    </w:p>
    <w:p>
      <w:r>
        <w:t>Aufgrund der vorstehenden Erwägungen erübrigt es sich, auf die weiteren Ausführungen in den Eingaben des Beschwerdeführers und die eingereichten Beweismittel im Einzelnen einzugehen, da sie am Ergebnis der vorgenommenen Würdigung nichts zu ändern vermögen. Unter Berücksichtigung der gesamten Umstände folgt, dass er keine Gründe nach Art. 3 AsylG nachweisen oder glaubhaft machen konnte. Das Bundesamt hat das Asylgesuch demnach im Ergebnis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BVGE 2009/50 E. 9 S. 733, BVGE 2008/34 E. 9.2 S. 510,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Praxis der gleiche Beweisstandard wie bei der Flüchtlingseigen­schaft, das heisst, sie sind zu beweisen, wenn der strikte Beweis möglich ist, und andernfalls wenigstens glaubhaft zu machen (vgl. Walter Stöckli, a.a.O., Rz. 11.148).</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Libanon ist demnach unter dem Aspekt von Art. 5 AsylG rechtmässig. Sodann ergeben sich weder aus den Aussagen des Beschwerdeführers noch aus den Akten Anhaltspunkte dafür, dass er für den Fall einer Aus­schaffung in den Libanon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unter Hinweis auf die vorstehenden Erwägungen zum Asylpunkt nicht gelun­gen. Auch die allgemeine Menschenrechtssituation im Libanon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Im Libanon herrscht zurzeit kein Krieg, Bürgerkrieg oder eine Situa­tion allgemeiner Gewalt, aufgrund derer die Zivilbevölkerung als konkret gefährdet bezeichnet werden müsste. Eine Rückkehr in den Libanon ist als grundsätzlich zumutbar zu bezeichnen.</w:t>
      </w:r>
    </w:p>
    <w:p>
      <w:r>
        <w:rPr>
          <w:b/>
        </w:rPr>
        <w:t>E. 9.4.2</w:t>
      </w:r>
    </w:p>
    <w:p>
      <w:r>
        <w:t>Aus den Akten ergeben sich auch keine Anhaltspunkte, die darauf schliessen liessen, der Beschwerdeführer gerate im Falle der Rückkehr in den Libanon aus individuellen Gründen wirtschaftlicher, sozialer oder ge­sundheitlicher Natur in eine existenzbedrohende Situation. Er verfügt über Berufserfahrung und es dürfte ihm trotz seiner gemischt-ethnischen Herkunft gelingen, sich - allenfalls auch ausserhalb seiner bisherigen Heimatregion - eine wirtschaftliche Existenz aufzubauen. Aufgrund sei­nes familiären Beziehungsnetzes kann davon ausgegangen werden, dass er in der Lage ist, sich in seinem Heimatland erfolgreich zu reintegrieren. Der Vollzug der Wegweisung erweist sich unter diesen Umständen nicht als unzumutbar.</w:t>
      </w:r>
    </w:p>
    <w:p>
      <w:r>
        <w:rPr>
          <w:b/>
        </w:rPr>
        <w:t>E. 9.5</w:t>
      </w:r>
    </w:p>
    <w:p>
      <w:r>
        <w:t>Schliesslich obliegt es dem Beschwerdeführer, sich bei der zuständi­gen Vertretung des Libanon die für eine Rückkehr notwendigen Reisedokumente zu beschaffen (vgl. Art. 8 Abs. 4 AsylG und dazu auch BVGE 2008/34 E. 12 S. 513 - 515). Da seine Mutter libanesische Staatsangehörige ist und mehrere Angehörige weiterhin im Libanon leben, dürfte ihm wiederum eine Aufenthaltsbewilligung erteilt werden, weshalb der Vollzug der Wegweisung zum heutigen Zeitpunkt nicht als unmöglich zu bezeichnen ist (Art. 83 Abs. 2 AuG).</w:t>
      </w:r>
    </w:p>
    <w:p>
      <w:r>
        <w:rPr>
          <w:b/>
        </w:rPr>
        <w:t>E. 9.6</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Sie sind durch den in gleicher Höhe geleisteten Kostenvorschuss gedeckt und sind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