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D-4120/2013 vom 29. Juli 2013</w:t>
      </w:r>
    </w:p>
    <w:p>
      <w:r>
        <w:t>Bundesverwaltungsgericht, 2013-07-29, DE</w:t>
      </w:r>
    </w:p>
    <w:p>
      <w:r>
        <w:rPr>
          <w:b/>
        </w:rPr>
        <w:t xml:space="preserve">Quelle: </w:t>
      </w:r>
      <w:r>
        <w:t>https://mcp.opencaselaw.ch/entscheid/bvger_D-4120_2013</w:t>
      </w:r>
    </w:p>
    <w:p>
      <w:r>
        <w:t>FR: TAF D-4120/2013 du 29 juillet 2013</w:t>
      </w:r>
    </w:p>
    <w:p>
      <w:r>
        <w:t>IT: TAF D-4120/2013 del 29 luglio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 Die von der kantonalen Behörde beantragte vorläufige Aufnahme stellt eine Ersatzmassnahme für die vorgängig im Rahmen des Asylverfahrens angeordnete Wegweisung dar, weshalb die Zuständigkeit der asylrechtlichen Abteilungen des Bundesverwaltungsgerichts gegeben ist (vgl. EMARK 2002 Nr. 17 E. 3 S. 136 f.).</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Die Beschwerdeführerin wurde vom BFM über den Antrag der kantonalen Migrationsbehörde informiert und eingeladen, dazu Stellung zu nehmen. Mit Eingabe vom 30. Mai 2013 machte sie von ihrem Äusserungsrecht Gebrauch und beantragte sinngemäss, der Antrag sei gutzuheissen. Damit hat sie am Verfahren vor der Vorinstanz teilgenommen. Sie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 unter Vorbehalt der nachfolgenden Erwägungen -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Der durch die Parteibegehren definierte Streitgegenstand darf nicht über den Anfechtungsgegenstand hinaus reichen. Gegenstand des Beschwerdeverfahrens kann somit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w:t>
      </w:r>
    </w:p>
    <w:p>
      <w:r>
        <w:rPr>
          <w:b/>
        </w:rPr>
        <w:t>E. 5.2</w:t>
      </w:r>
    </w:p>
    <w:p>
      <w:r>
        <w:t>Gegenstand des vorliegenden Verfahrens ist einzig die Ablehnung des kantonalen Antrags um Anordnung der vorläufigen Aufnahme infolge technischer Unmöglichkeit des Wegweisungsvollzugs, weshalb auf den Beschwerdeantrag (und die diesbezügliche Begründung), es sei die Unzulässigkeit oder zumindest die Unzumutbarkeit des Vollzugs der Wegweisung festzustellen und die vorläufige Aufnahme anzuordnen (vgl. Ziff. 2), nicht einzutreten ist.</w:t>
      </w:r>
    </w:p>
    <w:p>
      <w:r>
        <w:rPr>
          <w:b/>
        </w:rPr>
        <w:t>E. 5.3</w:t>
      </w:r>
    </w:p>
    <w:p>
      <w:r>
        <w:t>Nach dem vorstehend Gesagten geht die Rüge der Beschwerdeführerin, die Vorinstanz habe es unterlassen, die Zumutbarkeit und Zulässigkeit des Wegweisungsvollzugs zum heutigen Zeitpunkt zu prüfen und habe somit die Begründungspflicht gemäss Art. 29 Abs. 2 der Bundesverfassung der Schweizerischen Eidgenossenschaft vom 18. April 1999 (BV, SR 101) verletzt, fehl. Prüfungsgegenstand ist vorliegend lediglich, ob die Vorinstanz den kantonalen Antrag auf Anordnung der vorläufigen Aufnahme infolge technischer Unmöglichkeit des Wegweisungsvollzugs zu Recht abgelehnt hat.</w:t>
      </w:r>
    </w:p>
    <w:p>
      <w:r>
        <w:rPr>
          <w:b/>
        </w:rPr>
        <w:t>E. 6.1</w:t>
      </w:r>
    </w:p>
    <w:p>
      <w:r>
        <w:t>Gemäss Art. 46 Abs. 2 AsylG beantragt der Kanton dem Bundesamt die Anordnung einer vorläufigen Aufnahme, wenn sich der Vollzug als unmöglich erweist. Nach Art. 83 Abs. 7 Bst. c AuG wird keine vorläufige Aufnahme verfügt, wenn die weg- oder ausgewiesene Person die Unmöglichkeit des Vollzugs der Weg- oder Ausweisung durch ihr eigenes Verhalten verursacht hat. Verunmöglicht die Person durch ihr eigenes Verhalten den Vollzug der Wegweisung, so wird keine vorläufige Aufnahme verfügt ( Art. 17 Abs. 2 zweiter Satz VVWA).</w:t>
      </w:r>
    </w:p>
    <w:p>
      <w:r>
        <w:rPr>
          <w:b/>
        </w:rPr>
        <w:t>E. 6.2</w:t>
      </w:r>
    </w:p>
    <w:p>
      <w:r>
        <w:t>Nach Prüfung der vorliegenden Akten kommt das Bundesverwaltungsgericht zum Ergebnis, dass die Ausführungen in der Rechtsmitteleingabe nicht geeignet sind, die zutreffenden Erwägungen der Vorinstanz zu entkräften, weshalb vollumfänglich auf diese verwiesen wird (vgl. Bst. B vorstehend). Der Hinweis auf das Urteil des Bundesgerichts vom 11. März 2013 (6B_617/2012) und die Feststellung der Beschwerdeführerin, die Unmöglichkeit der zwangsweisen Ausschaffung müsse einer technischen Unmöglichkeit gleichkommen, vermag in der vorliegenden Konstellation nicht zu überzeugen. Praxisgemäss ist eine vorläufige Aufnahme wegen Unmöglichkeit des Wegweisungsvollzugs erst dann anzuordnen, wenn neben der zwangsweisen Ausschaffung auch die freiwillige Ausreise nicht möglich ist. Dies ist bei der Beschwerdeführerin jedoch nicht der Fall. Die Beschwerdeführerin kann, sofern sie die Bereitschaft einer freiwilligen Rückreise offenkundig zu erkennen gibt, bei der heimatlichen Auslandvertretung Reisepapiere erhältlich machen.</w:t>
      </w:r>
    </w:p>
    <w:p>
      <w:r>
        <w:rPr>
          <w:b/>
        </w:rPr>
        <w:t>E. 6.3</w:t>
      </w:r>
    </w:p>
    <w:p>
      <w:r>
        <w:t>Da die Beschwerdeführerin die Unmöglichkeit des Wegweisungsvollzugs durch ihr eigenes Verhalten verursacht, ist zusammenfassend festzuhalten, dass das BFM den Antrag der kantonalen Migrationsbehörde vom 29. April 2013 auf Anordnung einer vorläufigen Aufnahme in Anwendung von Art. 83 Abs. 7 Bst. c AuG und Art. 17 Abs. 2 zweiter Satz VVWA zu Recht abgelehnt hat. Infolgedessen kann darauf verzichtet werden, auf die weiteren Beschwerdevorbringen näher einzugehen, da dies zu keiner anderen Beurteilung führen würde.</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 soweit darauf einzutreten ist.</w:t>
      </w:r>
    </w:p>
    <w:p>
      <w:r>
        <w:rPr>
          <w:b/>
        </w:rPr>
        <w:t>E. 8</w:t>
      </w:r>
    </w:p>
    <w:p>
      <w:r>
        <w:t>Mit vorliegendem Entscheid in der Hauptsache werden Ziffer 3 der Beschwerdebegehren und das Gesuch um Verzicht auf die Erhebung eines Kostenvorschusses gegenstandslos.</w:t>
      </w:r>
    </w:p>
    <w:p>
      <w:r>
        <w:rPr>
          <w:b/>
        </w:rPr>
        <w:t>E. 9</w:t>
      </w:r>
    </w:p>
    <w:p>
      <w:r>
        <w:t>Aufgrund der vorstehenden Erwägungen ist die Beschwerde als aussichtslos zu qualifizieren, weshalb das Gesuch um Gewährung der unentgeltlichen Rechtspflege im Sinne von Art. 65 Abs. 1 VwVG abzuweisen ist. Bei diesem Ausgang des Verfahrens sind die Kosten der Be­schwer­de­füh­re­rin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