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D-4119/2010 vom 2. Juli 2010</w:t>
      </w:r>
    </w:p>
    <w:p>
      <w:r>
        <w:t>Bundesverwaltungsgericht, 2010-07-02, DE</w:t>
      </w:r>
    </w:p>
    <w:p>
      <w:r>
        <w:rPr>
          <w:b/>
        </w:rPr>
        <w:t xml:space="preserve">Quelle: </w:t>
      </w:r>
      <w:r>
        <w:t>https://mcp.opencaselaw.ch/entscheid/bvger_D-4119_2010</w:t>
      </w:r>
    </w:p>
    <w:p>
      <w:r>
        <w:t>FR: TAF D-4119/2010 du 2 juillet 2010</w:t>
      </w:r>
    </w:p>
    <w:p>
      <w:r>
        <w:t>IT: TAF D-4119/2010 del 2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Beschwerdeschrift wird in formeller Hinsicht gerügt, dass das Bundesamt unvollständig Akteneinsicht gewährt habe. Bereits in der Eingabe vom 4. März 2010 sei ausdrücklich der Antrag gestellt worden, dass das BFM "im Rahmen der Offenlegung der Grundzüge des Vorgehens der Botschaftsanfrage offen legen müsse, in welchen Fällen warum welche Dokumente mitgeschickt werden". Dennoch sei das BFM in der angefochtenen Verfügung unter Verletzung des rechtlichen Gehörs mit keinem Wort auf diesen Antrag eingegangen und habe überdies keine Akteneinsicht gewährt.</w:t>
      </w:r>
    </w:p>
    <w:p>
      <w:r>
        <w:rPr>
          <w:b/>
        </w:rPr>
        <w:t>E. 4.2</w:t>
      </w:r>
    </w:p>
    <w:p>
      <w:r>
        <w:t>Im Rahmen der Botschaftsabklärung hat sich die Vorinstanz bei der Anwendung von Art. 27 und 28 VwVG an den durch die Rechtsprechung festgelegten Umfang gehalten (siehe in diesem Zusammenhang Urteil des Bundesverwaltungsgerichts E-3583/2009 vom 28.9.2009 E. 4.5.3 S. 11; EMARK 1994 Nr. 1), weshalb diesbezüglich keine Verletzung von Art. 26 VwVG vorliegt, weshalb das auf Beschwerdeebene gestellte Akteneinsichtsgesuch beziehungsweise Gesuch auf rechtliches Gehör abzuweisen ist.</w:t>
      </w:r>
    </w:p>
    <w:p>
      <w:r>
        <w:rPr>
          <w:b/>
        </w:rPr>
        <w:t>E. 4.2.1</w:t>
      </w:r>
    </w:p>
    <w:p>
      <w:r>
        <w:t>Die Frage, ob sich das BFM damit begnügen durfte, die angefochtene Verfügung im Wesentlichen auf die Botschaftsabklärungen abzustützen, ohne sich zur Eingabe vom 4. März 2010 explizit zu äussern, ist zu bejahen. Einerseits ist die Begründung in der angefochtenen Verfügung nachvollzieh- und damit sachgerecht anfechtbar - was noch nichts über die Stimmigkeit der Begründung aussagt - anderseits tragen die Ausführungen in der erwähnten Eingabe nichts zur Klärung der Unstimmigkeiten zwischen den Aussagen der Beschwerdeführenden und den Abklärungen der Schweizer Vertretung bei und sind deshalb nicht entscheidrelevant.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[5A.20/2003]; ferner BGE 127 l 54 E. 2b S. 56, BGE 122 V 157 E. 1d S. 162, BGE 119 V 335 E. 2c S. 344). Gestützt auf die Ergebnisse der Botschaftsabklärung, deren Qualität in casu nicht zu beanstanden ist, durfte die Vorinstanz von weiteren Beweiserhebungen absehen. Was die geltend gemachten gesundheitlichen Probleme der Beschwerdeführerin und der Tochter C._______ anbelangt, ist festzuhalten, dass die Untersuchungspflicht der Asylbehörden ihre Grenzen an der Mitwirkungspflicht der Beschwerde führenden Partei findet (Art. 8 AsylG), die im Übrigen auch die Substanziierungslast trägt (Art. 7 AsylG). Es wäre demnach in der Verantwortung der Beschwerdeführenden gelegen, die gesundheitlichen Probleme bereits im vorinstanzlichen Verfahren konkret mittels Arztberichten darzulegen, was indes nicht geschehen ist. Das BFM hat deshalb zu Recht diesbezüglich auf weitere Abklärungen sowie auf Ausführungen in der angefochtenen Verfügung verzichtet.</w:t>
      </w:r>
    </w:p>
    <w:p>
      <w:r>
        <w:rPr>
          <w:b/>
        </w:rPr>
        <w:t>E. 4.3</w:t>
      </w:r>
    </w:p>
    <w:p>
      <w:r>
        <w:t>Bei dieser Sachlage führen zusätzliche Abklärungen im vorliegenden Beschwerdeverfahren nicht zu neuen sachdienlichen Erkenntnissen, weshalb auf Beschwerdeebene auf weitere Beweiserhebungen verzichtet wird.</w:t>
      </w:r>
    </w:p>
    <w:p>
      <w:r>
        <w:rPr>
          <w:b/>
        </w:rPr>
        <w:t>E. 5.1</w:t>
      </w:r>
    </w:p>
    <w:p>
      <w:r>
        <w:t>Auch die weiteren Vorbringen in der Rechtsmitteleingabe vom 7. Juni 2010 sind nicht geeignet, eine Änderung der vorinstanzlichen Verfügung zu bewirken. Weder besteht für das Bundesverwaltungsgericht Veranlassung, an der Richtigkeit der Abklärungen der Schweizerischen Botschaft in F._______ zu zweifeln noch nach Überprüfung der Akten die Erwägungen des BFM zu beanstanden. Um Wiederholungen zu vermeiden, kann daher auf die diesbezüglich zutreffenden Ausführungen in der angefochtenen Verfügung verwiesen werden. Zusammenfassend ist festzuhalten, dass es den Beschwerdeführenden nicht gelungen ist, für den Zeitpunkt der Ausreise aus Syrien eine Verfolgung im Sinne von Art. 3 AsylG nachzuweisen oder glaubhaft zu machen.</w:t>
      </w:r>
    </w:p>
    <w:p>
      <w:r>
        <w:rPr>
          <w:b/>
        </w:rPr>
        <w:t>E. 5.2</w:t>
      </w:r>
    </w:p>
    <w:p>
      <w:r>
        <w:t>Hinsichtlich des geltend gemachten exilpolitischen Engagements ist festzustellen, dass im syrischen Kontext lediglich exponierte Aktivitäten zur Anerkennung der Flüchtlingseigenschaft im Sinne subjektiver Nachfluchtgründe führen können (vgl. Urteil des Bundesverwaltungsgerichts vom 11. Mai 2010 D-2224/2009 E. 7.7.4 S. 22). Die als Beweismittel eingereichten Dokumente vermitteln jedoch nicht den Eindruck, der Beschwerdeführer habe sich in hervorgehobener Position für die Belange der Exil-Syrer beziehungsweise der syrischen Kurden engagiert. Aufgrund der Aktenlage ist nicht davon auszugehen, sein Engagement sei über die blosse Sympathisierung mit Sache der Kurden und die Teilnahme an wenigen Kundgebungen hinausgegangen. Konkrete und glaubhafte Hinweise, dass er deswegen tatsächlich das Interesse der syrischen Behörden auf sich gezogen hat respektive als regimefeindliches Element namentlich identifiziert und registriert wurde, liegen nicht vor. Auf den eingereichten Fotos ist er zwar erkennbar, nähere Angaben zu den Fotos werden jedoch nicht gemacht. Ebensowenig werden in den eingerechten Dokumenten allfällige vom Beschwerdeführer getätigte Aktionen erwähnt noch wird er namentlich genannt. Eine Identifizierung durch den syrischen Geheimdienst erscheint daher nicht wahrscheinlich. Demnach ist die Flüchtlingseigenschaft des Beschwerdeführers auch mangels subjektiver Nachfluchtgründe gemäss Art. 54 AsylG zu verneinen.</w:t>
      </w:r>
    </w:p>
    <w:p>
      <w:r>
        <w:rPr>
          <w:b/>
        </w:rPr>
        <w:t>E. 5.3</w:t>
      </w:r>
    </w:p>
    <w:p>
      <w:r>
        <w:t>Zusammenfassend ist festzustellen, dass es den Beschwerdeführenden nicht gelungen ist, die Flüchtlingseigenschaft nachzuweisen oder glaubhaft zu machen. An dieser Einschätzung vermögen weder die weiteren Ausführungen in den Eingaben noch die eingereichten Dokumente etwas zu ändern, weshalb darauf nicht weiter einzugehen ist. Somit hat die Vorinstanz ihre Asylgesuche zu Recht abgewiesen.</w:t>
      </w:r>
    </w:p>
    <w:p>
      <w:r>
        <w:rPr>
          <w:b/>
        </w:rPr>
        <w:t>E. 6.1</w:t>
      </w:r>
    </w:p>
    <w:p>
      <w:r>
        <w:t>Lehnt das Bundesamt Asylgesuche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nach Syrien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Syrien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Syrien herrscht zurzeit keine Situation allgemeiner Gewalt, weshalb in konstanter Praxis von der generellen Zumutbarkeit des Wegweisungsvollzugs ausgegangen wird. In den Akten finden sich auch keine Anhaltspunkte dafür, dass die Beschwerdeführenden aus individuellen Gründen wirtschaftlicher, sozialer oder gesundheitlicher Natur in eine existenzbedrohende Situation geraten würden. Was die gesundheitlichen Probleme der Beschwerdeführerin sowie der Tochter C._______ anbelangt, ist davon auszugehen, dass diese auch in Syrien behandelbar sind. Die von der Beschwerdeführerin geltend gemachten Sprachbarrieren, die sie bis anhin in der Schweiz von der Konsultation mit einer Fachperson abhielten, werden in Syrien dahinfallen. Der Tochter C._______ wurde schon in Syrien im Spital (...) in F._______ ein By-Pass implantiert und sie benötigte danach keine regelmässigen Kontrollen oder Untersuchungen mehr (vgl. A14/ S. 5). Eigenen Angaben zufolge verfügen die Beschwerdeführenden in ihrer Heimatregion über ein tragfähiges familiäres Beziehungsnetz, auf das sie bei Bedarf zurückgreifen können (vgl. A1/S. 3; A2/ S. 3). Der Beschwerdeführer war vor der Ausreise als selbstständiger Chauffeur tätig (vgl. A1/ S. 2), fand damit ein Auskommen für sich und seine Angehörigen und konnte darüber hinaus einen Teil der Reise für seine vierköpfigen Familie in die Schweiz finanzieren. Demnach ist es ihm ohne weiteres zuzumuten, bei einer Rückkehr nach Syrien seine vormalige Erwerbstätigkeit wieder aufzunehmen. Da seinen Angaben zufolge, sein Vater für die restlichen Kosten der Reise in die Schweiz aufkam (vgl. A13/ S. 15), ist davon auszugehen, dass er der jungen Familie auch bei deren Rückkehr finanziell unter die Arme greifen wird. Insgesamt bestehen daher keine konkreten Anzeichen dafür, dass die Beschwerdeführenden bei einer Rückkehr in ihr Heimatland in eine existenzielle Notlage geraten würden, weshalb der Vollzug der Wegweisung zumutbar ist.</w:t>
      </w:r>
    </w:p>
    <w:p>
      <w:r>
        <w:rPr>
          <w:b/>
        </w:rPr>
        <w:t>E. 7.6</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Ausgangsgemäss ist keine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