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D-4115/2017 vom 17. August 2017</w:t>
      </w:r>
    </w:p>
    <w:p>
      <w:r>
        <w:t>Bundesverwaltungsgericht, 2017-08-17, DE</w:t>
      </w:r>
    </w:p>
    <w:p>
      <w:r>
        <w:rPr>
          <w:b/>
        </w:rPr>
        <w:t xml:space="preserve">Quelle: </w:t>
      </w:r>
      <w:r>
        <w:t>https://mcp.opencaselaw.ch/entscheid/bvger_D-4115_2017</w:t>
      </w:r>
    </w:p>
    <w:p>
      <w:r>
        <w:t>FR: TAF D-4115/2017 du 17 août 2017</w:t>
      </w:r>
    </w:p>
    <w:p>
      <w:r>
        <w:t>IT: TAF D-4115/2017 del 17 agosto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Bundesverwaltungsgericht entscheidet über offensichtlich begründete Beschwerden in einzelrichterlicher Zuständigkeit mit Zustimmung eines zweiten Richters beziehungsweise einer zweiten Richterin (Art. 111 Bst. e AsylG). Wie nachstehend aufgezeigt, handelt es sich vorliegend um eine solche, weshalb der Beschwerdeentscheid nur summarisch zu begründen ist (Art. 111a Abs. 2 AsylG). Gestützt auf Art. 111a Abs. 1 AsylG verzichtet das Bundesverwaltungsgericht auf einen Schriftenwechsel.</w:t>
      </w:r>
    </w:p>
    <w:p>
      <w:r>
        <w:rPr>
          <w:b/>
        </w:rPr>
        <w:t>E. 3</w:t>
      </w:r>
    </w:p>
    <w:p>
      <w:r>
        <w:t>3.1 Mit Beschwerde kann im Bereich des Asyls die Verletzung von Bundesrecht (einschliesslich Missbrauch und Überschreiten des Ermessens) sowie die unrichtige oder unvollständige Feststellung des rechtserheblichen Sachverhalts (Art. 106 Abs. 1 AsylG) sowie im Bereich des Ausländerrechts die Unangemessenheit (Art. 49 VwVG) gerügt werden.</w:t>
      </w:r>
    </w:p>
    <w:p>
      <w:r>
        <w:rPr>
          <w:b/>
        </w:rPr>
        <w:t>E. 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4</w:t>
      </w:r>
    </w:p>
    <w:p>
      <w:r>
        <w:t>Der Beschwerdeführer beschränkt seinen Rückweisungsantrag auf den Wegweisungsvollzugspunkt. Die Ziffern 1, 2, 3 und 6 der angefochtenen Verfügung vom 15. Juni 2017 sind unangefochten in Rechtskraft erwachsen. Gegenstand des vorliegenden Verfahrens bildet demnach einzig die Prüfung, ob die Vorinstanz den Sachverhalt hinsichtlich des Vollzugspunktes vollständig und richtig erhoben hat.</w:t>
      </w:r>
    </w:p>
    <w:p>
      <w:r>
        <w:rPr>
          <w:b/>
        </w:rPr>
        <w:t>E. 5.1</w:t>
      </w:r>
    </w:p>
    <w:p>
      <w:r>
        <w:t>Der Beschwerdeführer bringt vor, das EVZ B._______ habe am 27. Mai 2015 eine Meldung bezüglich eines medizinischen Falls erlassen. Auf dieser Meldung sei u.a. ersichtlich, dass eine (...) vorgenommen worden sei. Gemäss Aktenverzeichnis sei bei der Vorinstanz zudem am 22. Mai 2017 ein Schreiben des Kantonsspitals C._______ eingegangen (vgl. Sachverhalt Bst. B). Da dieses Schreiben als internes Dokument definiert worden sei, sei der genaue Inhalt nicht bekannt. Es sei aber davon auszugehen, dass es sich hierbei um ein ärztliches Zeugnis des Kantonspitals C._______ handle. Demgegenüber führe die Vorinstanz aus, dass der Beschwerdeführer mit 30 Jahren ein Mann im besten Alter sei und an keinen gesundheitlichen Problemen leide. Obwohl die Vorinstanz über seine Erkrankung bereits vor Erlass des Asylentscheides vom 15. Juni 2017 informiert worden sei, habe sie diese wesentlichen Informationen in keiner Weise in der angefochtenen Verfügung berücksichtigt. Bereits im Zeitpunkt, als sie die Verfügung erlassen habe, sei er in einer sehr schlechten Verfassung gewesen und die gesundheitliche Situation sei für die Beurteilung der Wegweisung von entscheidender Bedeutung. Der Sachverhalt sei daher unvollständig festgestellt worden.</w:t>
      </w:r>
    </w:p>
    <w:p>
      <w:r>
        <w:rPr>
          <w:b/>
        </w:rPr>
        <w:t>E. 5.2</w:t>
      </w:r>
    </w:p>
    <w:p>
      <w:r>
        <w:t>Aus den Akten geht hervor, dass der Beschwerdeführer am 22. Mai 2017 dem SEM mitgeteilt hat, dass er seit dem 10. Mai 2017 im Kantonsspital C._______ hospitalisiert sei und die Dauer der Behandlung noch unklar sei. Im Aktenverzeichnis der Vorinstanz ist dieses grundlegende Aktenstück (A18) mit dem Vermerk D (unwesentliche Akten) paginiert worden. Angesichts dieser Umstände wäre das SEM aber gehalten gewesen, den aktuellen Gesundheitszustand des Beschwerdeführers abzuklären im Hinblick auf die Frage nach der Zumutbarkeit des Wegweisungsvollzugs. Als Begründung des Vollzugs der Wegweisung hält sie lediglich fest, dem Beschwerdeführer sei eine Rückkehr in seine Heimat aufgrund dessen, dass er mit 30 Jahren ein Mann im besten Alter sei und er an keinen gesundheitlichen Problemen leide, zuzumuten. Es ist nicht nachvollziehbar, wie das SEM zum Schluss kam, dass der Beschwerdeführer an keinen gesundheitlichen Problemen leide, obwohl er, soweit aus den Akten ersichtlich, zu jenem Zeitpunkt hospitalisiert gewesen zu sein scheint. Das SEM hat den Gesundheitszustand des Beschwerdeführers weder abgeklärt, noch dessen Hospitalisierung überhaupt erwähnt. Zu Recht wird daher in der Beschwerde darauf hingewiesen, dass es die Vorinstanz versäumt hat, den Sachverhalt vollständig und richtig festzustellen.</w:t>
      </w:r>
    </w:p>
    <w:p>
      <w:r>
        <w:rPr>
          <w:b/>
        </w:rPr>
        <w:t>E. 5.3</w:t>
      </w:r>
    </w:p>
    <w:p>
      <w:r>
        <w:t>Gemäss Art. 61 Abs. 1 VwVG entscheidet das Bundesverwaltungsgericht in der Sache selbst oder weist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Vorliegend ist aufgrund des oben Gesagten keinesfalls von einem vollständig erstellten Sachverhalt auszugehen. Entscheidende Beweismittel sind nicht miteinbezogen und gewürdigt worden und es bleiben möglicherweise noch Abklärungen zu treffen, deren Ergebnisse für den Entscheid über die Durchführbarkeit des Wegweisungsvollzugs zu berücksichtigen sind. Die Beschwerde ist demzufolge gutzuheissen. Die angefochtene Verfügung ist, soweit die Dispositivziffern 4 und 5 betreffend, aufzuheben und die Sache zur vollständigen Sachverhaltsfeststellung sowie zu neuer Entscheidung an die Vorinstanz zurückzuweisen.</w:t>
      </w:r>
    </w:p>
    <w:p>
      <w:r>
        <w:rPr>
          <w:b/>
        </w:rPr>
        <w:t>E. 6</w:t>
      </w:r>
    </w:p>
    <w:p>
      <w:r>
        <w:t>6.1 Bei diesem Ausgang des Verfahrens sind keine Kosten zu erheben (Art. 63 Abs. 1 und 2 VwVG). Das Gesuch um Gewährung der unentgeltlichen Prozessführung und der Antrag auf Verzicht auf die Erhebung eines Kostenvorschusses werden mit dem vorliegenden Entscheid gegenstandslos.</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