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D-4114/2022 vom 16. August 2022</w:t>
      </w:r>
    </w:p>
    <w:p>
      <w:r>
        <w:t>Bundesverwaltungsgericht, 2022-08-16, DE</w:t>
      </w:r>
    </w:p>
    <w:p>
      <w:r>
        <w:rPr>
          <w:b/>
        </w:rPr>
        <w:t xml:space="preserve">Quelle: </w:t>
      </w:r>
      <w:r>
        <w:t>https://mcp.opencaselaw.ch/entscheid/bvger_D-4114_2022_d20220816</w:t>
      </w:r>
    </w:p>
    <w:p>
      <w:r>
        <w:t>FR: TAF D-4114/2022 du 16 août 2022</w:t>
      </w:r>
    </w:p>
    <w:p>
      <w:r>
        <w:t>IT: TAF D-4114/2022 del 16 agosto 2022</w:t>
      </w:r>
    </w:p>
    <w:p>
      <w:pPr>
        <w:pStyle w:val="Heading2"/>
      </w:pPr>
      <w:r>
        <w:t>Regeste</w:t>
      </w:r>
    </w:p>
    <w:p>
      <w:r>
        <w:t>Aufhebung vorl&amp;auml;ufige Aufnahme (Asyl) | Aufhebung vorläufige Aufnahme (Asyl); Verfügung des SEM vom 16. August 2022</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Der Be- schwerdeführer ist als Verfügungsadressat zur Beschwerdeführung legiti- miert. Auf die frist- und formgerecht eingereichte Beschwerde ist einzutre- ten (Art. 37 VGG i.V.m. Art. 112 AIG, Art. 48 Abs. 1 sowie Art. 52 Abs. 1 VwVG).</w:t>
      </w:r>
    </w:p>
    <w:p>
      <w:r>
        <w:rPr>
          <w:b/>
        </w:rPr>
        <w:t>E. 1.2</w:t>
      </w:r>
    </w:p>
    <w:p>
      <w:r>
        <w:t>Wie in der Zwischenverfügung vom 22. Mai 2023 bereits festgehalten, wird das vorliegende Beschwerdeverfahren mit denjenigen seiner Mutter und der minderjährigen Geschwister sowie seines Vaters koordiniert. Über deren Beschwerden wird gleichzeitig, aber in separaten Verfahren (vgl. D-4108/2022 und D-4109/2022) befunden.</w:t>
      </w:r>
    </w:p>
    <w:p>
      <w:r>
        <w:rPr>
          <w:b/>
        </w:rPr>
        <w:t>E. 2</w:t>
      </w:r>
    </w:p>
    <w:p>
      <w:r>
        <w:t>Mit der Beschwerde kann die Verletzung von Bundesrecht, die unrichtige oder unvollständige Feststellung des Sachverhalts und die Unangemes- senheit gerügt werden (Art. 112 Abs. 1 AIG i.V.m. Art. 49 VwVG).</w:t>
      </w:r>
    </w:p>
    <w:p>
      <w:r>
        <w:rPr>
          <w:b/>
        </w:rPr>
        <w:t>E. 3</w:t>
      </w:r>
    </w:p>
    <w:p>
      <w:r>
        <w:t>Der Beschwerdeführer ersucht – wie schon zuvor beim SEM – auch mit der Beschwerde (zumindest sinngemäss) um Sistierung des vorliegenden Beschwerdeverfahrens bis zum rechtskräftigen Entscheid über das Asyl- gesuch seines Vaters, gegebenenfalls einschliesslich des Entscheids im Vollzugspunkt (vgl. ebd. S. 4). Dieses Gesuch ist unter Hinweis auf die er- folgte (zeitliche) Koordination der Beschwerdeverfahren abzuweisen.</w:t>
      </w:r>
    </w:p>
    <w:p>
      <w:r>
        <w:t>D-4114/2022 Seite 6</w:t>
      </w:r>
    </w:p>
    <w:p>
      <w:r>
        <w:rPr>
          <w:b/>
        </w:rPr>
        <w:t>E. 4.1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4.2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 hungsweise die Art der verletzten Rechtsgüter, das Verschulden des Be- troffenen und das Verhalten des Ausländers in dieser Periode (vgl. BVGE 2020 VI/9 E. 10.4 und E. 11).</w:t>
      </w:r>
    </w:p>
    <w:p>
      <w:r>
        <w:rPr>
          <w:b/>
        </w:rPr>
        <w:t>E. 5.1</w:t>
      </w:r>
    </w:p>
    <w:p>
      <w:r>
        <w:t>Auf Beschwerdeebene werden verschiedene formelle Rügen (insbe- sondere Verletzung des Anspruchs auf rechtliches Gehör respektive der Begründungspflicht) erhoben. Sie sind vorab zu beurteilen, da sie gegebe- 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D-4114/2022 Seite 7</w:t>
      </w:r>
    </w:p>
    <w:p>
      <w:r>
        <w:rPr>
          <w:b/>
        </w:rPr>
        <w:t>E. 5.3</w:t>
      </w:r>
    </w:p>
    <w:p>
      <w:r>
        <w:t>In der Zwischenverfügung vom 22. Mai 2023 stellte der Instruktions- richter fest, dass in der angefochtenen Verfügung keine Prüfung der Ver- hältnismässigkeit im Sinne der zitierten bundesverwaltungsgerichtlichen Rechtsprechung zur Aufhebung von vorläufigen Aufnahmen vorgenommen worden sei und lud das SEM ein, sich insbesondere hierzu vernehmen zu lassen. Eine entsprechende Prüfung erfolgte auch im Rahmen der Ver- nehmlassung nicht. Namentlich hat sich das SEM darin mit keinem Wort zur Verhältnismässigkeit der Aufhebung der vorläufigen Aufnahme geäus- sert, womit es den Anspruch des Beschwerdeführers auf rechtliches Gehör klarerweise verletzt hat.</w:t>
      </w:r>
    </w:p>
    <w:p>
      <w:r>
        <w:rPr>
          <w:b/>
        </w:rPr>
        <w:t>E. 6.1</w:t>
      </w:r>
    </w:p>
    <w:p>
      <w:r>
        <w:t>Gemäss Art. 61 Abs. 1 VwVG entscheidet das Bundesverwaltungsge- richt in der Sache selbst oder weist diese ausnahmsweise mit verbindlichen Weisungen an die Vorinstanz zurück. Eine Verletzung des Anspruchs auf rechtliches Gehör führt grundsätzlich zur Kassation und Rückweisung der Sache an die Vorinstanz. Die Heilung von Gehörsverletzungen aus pro- zessökonomischen Gründen ist auf Beschwerdeebene nur möglich, sofern das Versäumte nachgeholt wird, der Beschwerdeführer dazu Stellung neh- men kann und der Beschwerdeinstanz für die konkrete Streitfrage die freie Überprüfungsbefugnis in Bezug auf Tatbestand und Rechtsanwendung zu- kommt sowie die festgestellte Verletzung nicht schwerwiegender Natur ist und die fehlende Entscheidreife durch die Beschwerdeinstanz mit vertret- barem Aufwand hergestellt werden kann (vgl. BVGE 2014/22 E. 5.3 m.w.H.).</w:t>
      </w:r>
    </w:p>
    <w:p>
      <w:r>
        <w:rPr>
          <w:b/>
        </w:rPr>
        <w:t>E. 6.2</w:t>
      </w:r>
    </w:p>
    <w:p>
      <w:r>
        <w:t>Vorliegend fällt eine Heilung der festgestellten Gehörsverletzung be- reits deshalb nicht in Betracht, weil es das SEM versäumt hat, den formel- len Fehler im Rahmen des Schriftenwechsels zu korrigieren. Das SEM ist im Rahmen des wiederaufzunehmenden erstinstanzlichen Verfahrens ge- halten, eine Prüfung der Verhältnismässigkeit im Sinne der zitierten bun- desverwaltungsgerichtlichen Rechtsprechung zur Aufhebung von vorläufi- gen Aufnahmen vorzunehmen. Angesichts der Rückweisung der Sache er- übrigt sich eine Auseinandersetzung mit den weiteren Vorbringen auf Be- schwerdeebene, weil das Beschwerdedossier ebenfalls Gegenstand des wiederaufzunehmenden erstinstanzlichen Verfahrens sein und das SEM sich damit zu befassen haben wird.</w:t>
      </w:r>
    </w:p>
    <w:p>
      <w:r>
        <w:rPr>
          <w:b/>
        </w:rPr>
        <w:t>E. 7</w:t>
      </w:r>
    </w:p>
    <w:p>
      <w:r>
        <w:t>Nach dem Gesagten ist die Beschwerde insofern gutzuheissen, als die an- gefochtene Verfügung aufzuheben und die Sache zur Behebung des</w:t>
      </w:r>
    </w:p>
    <w:p>
      <w:r>
        <w:t>D-4114/2022 Seite 8 festgestellten Mangels sowie zur Neubeurteilung an die Vorinstanz zurück- zuweisen ist.</w:t>
      </w:r>
    </w:p>
    <w:p>
      <w:r>
        <w:rPr>
          <w:b/>
        </w:rPr>
        <w:t>E. 8.1</w:t>
      </w:r>
    </w:p>
    <w:p>
      <w:r>
        <w:t>Bei diesem Ausgang des Verfahrens sind keine Kosten zu erheben (Art. 63 Abs. 1 und 2 VwVG). Damit wird die mit Zwischenverfügung vom 16. August 2023 gewährte unentgeltliche Prozessführung nachträglich ge- genstandslos.</w:t>
      </w:r>
    </w:p>
    <w:p>
      <w:r>
        <w:rPr>
          <w:b/>
        </w:rPr>
        <w:t>E. 8.2</w:t>
      </w:r>
    </w:p>
    <w:p>
      <w:r>
        <w:t>Dem vertretenen Beschwerdeführer ist angesichts seines Obsiegens im Kassationsantrag in Anwendung von Art. 64 VwVG und Art. 7 Abs. 1 des Reglements vom 21. Februar 2008 über die Kosten und Entschädigungen vor dem Bundesverwaltungsgericht (VGKE, SR 173.320.2) eine Entschä- digung für die ihm notwendigerweise erwachsenen Parteikosten zuzuspre- chen. Der Rechtsvertreter des Beschwerdeführers reichte keine Kosten- note ein. Auf die Nachforderung einer solchen kann indessen verzichtet werden (vgl. Art. 14 Abs. 2 VGKE), da im vorliegenden Verfahren der Auf- wand für die Beschwerdeführung zuverlässig abgeschätzt werden kann, wobei nur der notwendige Aufwand zu entschädigen ist. Gestützt auf die in Betracht zu ziehenden Bemessungsfaktoren (Art. 9-13 VGKE) ist die Par- teientschädigung aufgrund der Akten pauschal auf Fr. 600.– (inkl. Auslagen und Mehrwertsteuerzuschlag) festzusetzen. Dieser Betrag ist dem Be- schwerdeführer durch das SEM zu entrichten. (Dispositiv nächste Seite)</w:t>
      </w:r>
    </w:p>
    <w:p>
      <w:r>
        <w:t>D-4114/2022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