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D-4114/2017 vom 3. August 2017</w:t>
      </w:r>
    </w:p>
    <w:p>
      <w:r>
        <w:t>Bundesverwaltungsgericht, 2017-08-03, DE</w:t>
      </w:r>
    </w:p>
    <w:p>
      <w:r>
        <w:rPr>
          <w:b/>
        </w:rPr>
        <w:t xml:space="preserve">Quelle: </w:t>
      </w:r>
      <w:r>
        <w:t>https://mcp.opencaselaw.ch/entscheid/bvger_D-4114_2017</w:t>
      </w:r>
    </w:p>
    <w:p>
      <w:r>
        <w:t>FR: TAF D-4114/2017 du 3 août 2017</w:t>
      </w:r>
    </w:p>
    <w:p>
      <w:r>
        <w:t>IT: TAF D-4114/2017 del 3 agosto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Rechtsprechung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Beschwerdefrist gegen den Wiedererwägungsentscheid ist noch nicht abgelaufen. Über Rechtsmittel kann jedoch vor Ablauf der Beschwerdefrist befunden werden, wenn die Rechtsmitteleingabe eindeutig als abschliessend zu verstehen und der Sachverhalt vollständig erstellt ist (EMARK 1997 Nr. 13 E. 1; EMARK 1996 Nr. 19 E. 3a und b). Dies ist im vorliegenden Fall zu bejahen.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Die Vorinstanz kommt in der angefochtenen Verfügung zum Schluss, es würden weder Beweismittel noch Gründe vorliegen, welche die Rechtskraft der Verfügung vom 23. Mai 2014 beseitigen könnten, weshalb das Wiedererwägungsgesuch abzuweisen sei. Der Beschwerdeführer mache im Wesentlichen geltend, dass er in Marokko ungerechterweise zu einer Gefängnis- und Geldstrafe verurteilt worden sei. Dies belege er mit einer beglaubigten Kopie eines Urteils sowie dessen Übersetzung. In Anbetracht dessen, dass über drei Jahre verstrichen seien, seit er das Dokument in Aussicht gestellt habe, sei es fraglich, ob es sich beim vorliegenden Dokument nicht eher um eine Fälschung handle. Allerdings sei bereits in der Verfügung vom 23. Mai 2014 festgestellt worden, dass selbst bei Wahrunterstellung seiner Vorbringen von keiner asylrelevanten Verfolgung in seinem Heimatstaat ausgegangen werden könne. Vielmehr habe das Handeln des marokkanischen Staates legitimen Mitteln gedient, gegen welche er sich mit den verfügbaren rechtlichen Mitteln hätte wehren können. Folglich sei das nachgereichte Beweismittel auch im Falle seiner Echtheit nicht geeignet, die Wiedererwägung seiner Asylbegründung zu rechtfertigen.</w:t>
      </w:r>
    </w:p>
    <w:p>
      <w:r>
        <w:rPr>
          <w:b/>
        </w:rPr>
        <w:t>E. 6.2</w:t>
      </w:r>
    </w:p>
    <w:p>
      <w:r>
        <w:t>Der Beschwerdeführer wendet dagegen ein, dass die Dokumente echt seien. Mit der beigelegten Apostille vom 19. Juli 2017 stelle er klar, dass die Dokumente keine Fälschungen seien. Somit sei bewiesen, dass er zu Unrecht verurteilt worden sei, weshalb die angefochtene Verfügung wiedererwägungsweise aufzuheben sei.</w:t>
      </w:r>
    </w:p>
    <w:p>
      <w:r>
        <w:rPr>
          <w:b/>
        </w:rPr>
        <w:t>E. 6.3</w:t>
      </w:r>
    </w:p>
    <w:p>
      <w:r>
        <w:t>Der Vorinstanz ist zuzustimmen, dass die Dokumente, welche der Beschwerdeführer einreichte, lediglich den Sachverhalt der Verurteilung wegen des Transports von Drogen in seinem Auto bestätigen, von welchem das damalige Bundesamt für Migration (BFM; nunmehr Staatssekretariat für Migration [SEM]) bereits im ursprünglichen Entscheid vom 23. Mai 2014 darlegte, dass er asylrechtlich nicht relevant ist. Ansonsten werden keine rechtserheblichen Ausführungen gemacht.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