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D-4108/2011 vom 13. September 2011</w:t>
      </w:r>
    </w:p>
    <w:p>
      <w:r>
        <w:t>Bundesverwaltungsgericht, 2011-09-13, DE</w:t>
      </w:r>
    </w:p>
    <w:p>
      <w:r>
        <w:rPr>
          <w:b/>
        </w:rPr>
        <w:t xml:space="preserve">Quelle: </w:t>
      </w:r>
      <w:r>
        <w:t>https://mcp.opencaselaw.ch/entscheid/bvger_D-4108_2011</w:t>
      </w:r>
    </w:p>
    <w:p>
      <w:r>
        <w:t>FR: TAF D-4108/2011 du 13 septembre 2011</w:t>
      </w:r>
    </w:p>
    <w:p>
      <w:r>
        <w:t>IT: TAF D-4108/2011 del 13 settembre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Verfahrenskosten, bestimmt auf Fr. 1'200.--, werden dem Gesuchstel­ler aufer­legt. Dieser Betrag ist durch den in gleicher Höhe geleisteten Kos­tenvorschuss ge­tilgt.</w:t>
      </w:r>
    </w:p>
    <w:p>
      <w:r>
        <w:rPr>
          <w:b/>
        </w:rPr>
        <w:t>E. 3</w:t>
      </w:r>
    </w:p>
    <w:p>
      <w:r>
        <w:t>Die Akten werden im Sinne der Erwägungen der Vorinstanz zur Prüfung, ob Wie­dererwägungsgründe vorliegen, überwiesen.</w:t>
      </w:r>
    </w:p>
    <w:p>
      <w:r>
        <w:rPr>
          <w:b/>
        </w:rPr>
        <w:t>E. 4</w:t>
      </w:r>
    </w:p>
    <w:p>
      <w:r>
        <w:t>Dieses Urteil geht an den Gesuchsteller, das BFM und die zuständige kanto­nale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