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D-4104/2011 vom 10. Februar 2012</w:t>
      </w:r>
    </w:p>
    <w:p>
      <w:r>
        <w:t>Bundesverwaltungsgericht, 2012-02-10, DE</w:t>
      </w:r>
    </w:p>
    <w:p>
      <w:r>
        <w:rPr>
          <w:b/>
        </w:rPr>
        <w:t xml:space="preserve">Quelle: </w:t>
      </w:r>
      <w:r>
        <w:t>https://mcp.opencaselaw.ch/entscheid/bvger_D-4104_2011</w:t>
      </w:r>
    </w:p>
    <w:p>
      <w:r>
        <w:t>FR: TAF D-4104/2011 du 10 février 2012</w:t>
      </w:r>
    </w:p>
    <w:p>
      <w:r>
        <w:t>IT: TAF D-4104/2011 del 10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Solches liegt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Rechtsmitteleingabe lässt der Beschwerdeführer im Wesentlichen geltend machen, die Vorinstanz habe in Verletzung des Untersuchungsgrundsatzes keine Abwägung der für und gegen ihn sprechenden Sachverhaltselemente vorgenommen, sondern nur die angeblich gegen ihn sprechenden Elemente erwähnt. Namentlich seien die vom Beschwerdeführer eingereichten Beweismittel gänzlich ausgeklammert beziehungsweise willkürlich gewürdigt worden. Zudem sei die Gesamtheit der Vorbringen des Beschwerdeführers entgegen den Ausführungen der Vorinstanz nicht unglaubhaft ausgefallen. Insbesondere zur Militärausbildung in Sawa und zur Flucht aus dem Militärdienst habe der Beschwerdeführer entgegen der Behauptung der Vorinstanz klare, schlüssige und detaillierte Angaben gemacht. Hinzu kämen die Beweise. So seien etwa auf den als Beweismittel eingereichten Fotos die Militärkasernen von Sawa im Hintergrund deutlich zu sehen. Auch treffe es nicht zu, dass die Admission Card und der Passierschein eine seltsame Gültigkeit hätten. Es liege lediglich ein Tippfehler vor, wie er auch in der Schweiz vorkommen könne. Falls das BFM Zweifel an der Authentizität der eingereichten Dokumente gehabt hätte und an einer Abklärung interessiert gewesen wäre, hätte es eine Überprüfung durch die Schweizerische Auslandsvertretung in Khartoum veranlassen können. Die Vorinstanz sei ihrer Begründungspflicht nicht nachgekommen. Schliesslich sei mit Verweis auf Entscheidungen und Mitteilungen der Schweizerischen Asylrekurskommission [ARK; EMARK] 2006 Nr. 3 festzuhalten, der Beschwerdeführer habe sich durch seine Flucht der Dienstpflicht entzogen, weshalb ihm eine unverhältnismässige Strafe im Sinne der herrschenden Rechtsprechung drohe. Dementsprechend sei ihm in der Schweiz Asyl zu gewähren.</w:t>
      </w:r>
    </w:p>
    <w:p>
      <w:r>
        <w:rPr>
          <w:b/>
        </w:rPr>
        <w:t>E. 5.2</w:t>
      </w:r>
    </w:p>
    <w:p>
      <w:r>
        <w:t>Die Rüge der unvollständigen Sachverhaltsfeststellung ist vorweg zu prüfen, da ein allenfalls ungenügend abgeklärter Sachverhalt eine materielle Behandlung der vorliegenden Beschwerde verunmöglichen würde.</w:t>
      </w:r>
    </w:p>
    <w:p>
      <w:r>
        <w:rPr>
          <w:b/>
        </w:rPr>
        <w:t>E. 5.2.1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(Art. 13 VwVG und Art. 8 AsylG). Trotz des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EMARK 1995 Nr. 23 E. 5a S. 222).</w:t>
      </w:r>
    </w:p>
    <w:p>
      <w:r>
        <w:rPr>
          <w:b/>
        </w:rPr>
        <w:t>E. 5.2.2</w:t>
      </w:r>
    </w:p>
    <w:p>
      <w:r>
        <w:t>In der Beschwerdeschrift wird das Begehren nach weiteren Beweiserhebungen durch die Vorinstanz sinngemäss damit begründet, diese habe einseitig nur die gegen den Beschwerdeführer sprechenden Sachverhaltselemente erwähnt und es pflichtwidrig unterlassen, weitere Abklärungen zu treffen, die es allenfalls ermöglicht hätten, die Glaubhaftigkeit der Vorbringen in einem positiveren Licht zu sehen. Indessen ist an dieser Stelle darauf hinzuweisen, dass der Beschwerdeführer anlässlich der BzP sowie der Direktanhörung durch das BFM Gelegenheit hatte, den schweizerischen Asylbehörden seine Bedrohungssituation in extenso zu schildern. Wie nachstehend auszuführen sein wird, vermochten seine diesbezüglichen Vorbringen nicht zu überzeugen, dies im Gleichklang mit den von ihm eingereichten Beweismitteln. Dieser Umstand generiert jedoch, entgegen der in der Beschwerdeschrift vertretenen Auffassung, an sich keinen weiteren Abklärungsbedarf. Aufgrund der Aktenlage kommt das Bundesverwaltungsgericht somit zum Schluss, dass das BFM vorliegend den Sachverhalt vollständig erstellt und zu Recht keine weitergehenden Abklärungen - wie beispielsweise eine Botschaftsabklärung - vorgenommen hat. Im Folgenden gilt es zu prüfen, ob die Furcht des Beschwerdeführers vor Verfolgung wegen der angeblichen Desertion zu einer Asylgewährung in der Schweiz führen kann. In diesem Zusammenhang ist vorweg auf EMARK 2006 Nr. 3 zu verweisen. In jenem Entscheid stellte die vormals zuständige ARK fest, die Desertion sei insbesondere nicht als subjektiver Nachfluchtgrund im Sinne von Art. 54 AsylG zu verstehen, da der Beschwerdeführer nicht durch seine Ausreise, sondern bereits durch seine Desertion auf eritreischem Territorium der zu befürchtenden Verfolgung ausgesetzt worden sei (vgl. a.a.O., E. 4.12. S. 41). Dem vorliegenden Verfahren liegt jedoch in dem Sinne ein anderer Sachverhalt zugrunde, als der Beschwerdeführer nicht in der Lage war, die geltend gemachte Desertion glaubhaft zu machen. Um überhaupt desertieren zu können, müssten die eritreischen Behörden den Beschwerdeführer vorgängig militärisch einberufen und ausgebildet haben. Indessen erweisen sich bereits die diesbezüglichen Vorbringen des Beschwerdeführers als unglaubhaft, weil sich angesichts seiner Vorbringen der Eindruck aufdrängt, er könne bei seiner Schilderung des Militäralltags nicht auf Erinnerungen an tatsächliche Begebenheiten zurückgreifen. In diesem Zusammenhang ist zu berücksichtigen, dass die eritreische Gesellschaft in erheblichem Ausmass militarisiert ist, weshalb auch Eritreer, die nie Militärdienst geleistet haben, weil sie beispielsweise schon seit Jahren nicht mehr in Eritrea lebten, einiges vom Hörensagen zu berichten wissen, beispielsweise eine Waffe wie die Kalaschnikow dem Namen nach kennen und auch eine gängige Magazingrösse angeben können. Aus derartigen Kenntnissen kann der Beschwerdeführer noch nichts zu seinen Gunsten ableiten. Darüber hinaus ist nicht anzunehmen, der Beschwerdeführer habe bei Fussmärschen eine (unbekannte) Waffe ohne militärischen Verwendungszweck namens "Simanov" mitgeführt (vgl. Akten BFM A16/17 F76 S. 9). Ebenso wenig ist anzunehmen, der Beschwerdeführer habe als Soldat der Division 74, einer mit schweren Waffen ausgerüsteten mechanisierten Einheit, unter Androhung von Strafe nicht einmal alle Waffen anschauen dürfen (vgl. A16/17 F83 - F87 S. 10), oder der Umgang mit diesen werde mangels eines aktuellen militärischen Konflikts nicht geübt (vgl. auch a.a.O., F76 S. 9). An dieser Betrachtungsweise vermögen auch die vom Beschwerdeführer eingereichten Beweismittel nichts zu ändern. So gibt es entgegen den Vorbringen in der Beschwerdeschrift nicht den geringsten Hinweis, dass die Fotos tatsächlich in Sawa aufgenommen worden wären (vgl. A16/17 F33 S. 4; A1/1). Ausserdem pflegt auch in einem afrikanischen Land das Ende der Gültigkeitsdauer eines Passierscheins nicht vor dem Beginn desselben zu liegen, weshalb dieses Dokument keinerlei Beweiswert aufweist. Dies gilt gleichermassen für die in Form von Kopien vorliegenden Schulzeugnisse. Wie sich aus dem Gesagten ergibt, ist entgegen der auf Beschwerdeebene vertretenen Einschätzung auszuschliessen, dass er sich durch Flucht der Dienstpflicht entzog, dies umso weniger, als seine Vorbringen zur Flucht ebenfalls nicht den Schluss zulassen, er habe sie selbst erlebt (vgl. A9/12 Ziff. 16 S. 7 und 8). Zur Vermeidung von Wiederholungen kann im Übrigen auf die zutreffenden Erwägungen in der angefochtenen Verfügung verwiesen werden. Da er mit der illegalen Ausreise einen subjektiven Nachfluchtgrund geschaffen hat, kann ihm indessen kein Asyl gewährt werden (Art. 54 AsylG). Die Vorinstanz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6.3</w:t>
      </w:r>
    </w:p>
    <w:p>
      <w:r>
        <w:t>Wegen des Vorliegens eines subjektiven Nachfluchtgrunds im Sinne von Art. 54 AsylG ordnete das BFM in der angefochtenen Verfügung vom 21. Juni 2011 die vorläufige Aufnahme des Beschwerdeführers als Flüchtling an (vgl. die weiterhin zutreffende Praxis in EMARK 2000 Nr. 16 E. 5a S. 141 f., mit weiteren Hinweisen). Somit erübrigen sich in casu weitere Ausführungen hinsichtlich der Durchführbarkeit des Wegweisungsvollzugs.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3. August 2011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