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D-4094/2017 vom 11. August 2017</w:t>
      </w:r>
    </w:p>
    <w:p>
      <w:r>
        <w:t>Bundesverwaltungsgericht, 2017-08-11, DE</w:t>
      </w:r>
    </w:p>
    <w:p>
      <w:r>
        <w:rPr>
          <w:b/>
        </w:rPr>
        <w:t xml:space="preserve">Quelle: </w:t>
      </w:r>
      <w:r>
        <w:t>https://mcp.opencaselaw.ch/entscheid/bvger_D-4094_2017</w:t>
      </w:r>
    </w:p>
    <w:p>
      <w:r>
        <w:t>FR: TAF D-4094/2017 du 11 août 2017</w:t>
      </w:r>
    </w:p>
    <w:p>
      <w:r>
        <w:t>IT: TAF D-4094/2017 del 11 agosto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BVGE 2014/1 E. 2 S. 5 f., 2007/41 E. 2 S. 529 f.).</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4.1</w:t>
      </w:r>
    </w:p>
    <w:p>
      <w:r>
        <w:t>In der angefochtenen Verfügung führte das SEM im Wesentlichen aus, das Vereinigte Königreich sei für das Asylgesuch des Beschwerdeführers zuständig und es lägen keine Gründe vor, die die Anwendung der Souveränitätsklausel durch die Schweiz begründeten, weshalb auf das Asylgesuch nicht einzutreten sei. Das Vereinigte Königreich bleibe weiterhin für sein Verfahren bis zu einer allfälligen Regelung des Aufenthaltsstatus zuständig, auch wenn dort sein Asylverfahren bereits rechtskräftig abgeschlossen sei. Es lägen keine begründeten Hinweise vor, wonach das Vereinigte Königreich seinen völkerrechtlichen Verpflichtungen nicht nachgekommen wäre und das Asyl- und Wegweisungsverfahren nicht korrekt durchgeführt hätte. Sodann gehe aus der von ihm eingereichten britischen Aufenthaltsbewilligung hervor, dass diese noch bis zum (...) gültig sei, womit ihm wie bis anhin die Möglichkeit offen stehe, seine in der Schweiz lebende Tochter zu besuchen. Zudem gehe aus den Akten hervor, dass die Scheidung im (...) eingereicht worden sei und seine Frau keine Familienzusammenführung wünsche.</w:t>
      </w:r>
    </w:p>
    <w:p>
      <w:r>
        <w:rPr>
          <w:b/>
        </w:rPr>
        <w:t>E. 4.2</w:t>
      </w:r>
    </w:p>
    <w:p>
      <w:r>
        <w:t>In der Beschwerde wurde im Wesentlichen vorgebracht, der Beschwerdeführer habe kein Aufenthaltsrecht mehr im Vereinigten Königreich. Bei einer Rückschaffung dorthin würde er verhaftet und ohne Prüfung seiner Gefährdungslage nach Sri Lanka zurückgeschafft. Das SEM habe gegenüber der Dublin-Unit des Vereinigten Königreichs unzutreffende Angaben über seine familiäre Situation gemacht. Es sei zudem zu Unrecht davon ausgegangen, dass zwischen ihm und seiner Tochter kein Abhängigkeitsverhältnis bestehe und die familiäre Beziehung nicht gelebt werde.</w:t>
      </w:r>
    </w:p>
    <w:p>
      <w:r>
        <w:rPr>
          <w:b/>
        </w:rPr>
        <w:t>E. 5.1</w:t>
      </w:r>
    </w:p>
    <w:p>
      <w:r>
        <w:t>In casu verzichtete die Vorinstanz im angefochtenen Entscheid auf die Anordnung der Wegweisung des Beschwerdeführers nach Grossbritannien. Das SEM begnügte sich mit einer Prüfung der Zuständigkeit dieses Staates zur Durchführung des Asylverfahrens und trat gestützt auf Art. 31a Abs. 1 Bst. b AsylG nicht auf das Gesuch ein (Dispositiv-Ziff. 1).</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Eine sachgerechte Anfechtung ist nur möglich, wenn sich sowohl die Partei wie auch die Rechtsmittelinstanz über die Tragweite des Entscheids ein Bild machen können. Die entscheidende Behörde muss kurz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BVGE 2013/34 E. 4.1, 2012/24 E. 3.2).</w:t>
      </w:r>
    </w:p>
    <w:p>
      <w:r>
        <w:rPr>
          <w:b/>
        </w:rPr>
        <w:t>E. 5.3</w:t>
      </w:r>
    </w:p>
    <w:p>
      <w:r>
        <w:t>Gemäss Art. 44 AsylG verfügt die Vorinstanz im Regelfall die Wegweisung eines Gesuchstellers aus der Schweiz und ordnet den Vollzug an, wenn es auf ein Asylgesuch nicht eingetreten ist. Diese Anordnung erfolgt in der Regel unabhängig vom Aufenthaltsstatus eines Gesuchstellers in einem Drittstaat, zumal die Situation in der Schweiz massgeblich ist (vgl. Art. 32 der Asylverordnung 1 vom 11. August 1999 [AsylV 1, SR 142.311]). Die Vorinstanz äusserte sich im vorliegenden Fall nicht dazu, weshalb sie auf die im Rahmen von negativ ergangenen Dublin-Entscheiden normalerweise anzuordnende Wegweisung beziehungsweise Überstellung in den für das Asylverfahren zuständigen Staat verzichtete. Zwar führte sie im Rahmen der Zuständigkeitsprüfung zur Durchführung des Asylverfahrens aus, der Beschwerdeführer habe geltend gemacht, aufgrund der Rückkehr seiner Ehefrau in die Schweiz die Aufenthaltsbewilligung in Grossbritannien verloren zu haben, indessen gehe aber aus der von ihm eingereichten britischen Aufenthaltsbewilligung hervor, dass diese noch bis zum (...) gültig sei. Da diese Erwägungen im Rahmen der Zuständigkeitsprüfung erfolgten, sind die Überlegungen, von denen sich die Behörde leiten liess, von einer Wegweisung aus der Schweiz nach Grossbritannien Abstand zu nehmen, nicht zu erkennen, womit dem Beschwerdeführer die Möglichkeit einer sachgerechten Anfechtung verwehrt geblieben ist. Gleichzeitig wurde der Rechtsmittelinstanz die Möglichkeit genommen, sich über die Tragweite des Entscheids ein Bild zu machen. Durch diese Unterlassung verletzte die Vorinstanz die ihr obliegende Begründungspflicht und damit das rechtliche Gehör.</w:t>
      </w:r>
    </w:p>
    <w:p>
      <w:r>
        <w:rPr>
          <w:b/>
        </w:rPr>
        <w:t>E. 5.4</w:t>
      </w:r>
    </w:p>
    <w:p>
      <w:r>
        <w:t>Im Weiteren ist zu berücksichtigen, dass das SEM in Dispositiv-Ziffer 3 feststellte, eine allfällige Beschwerde habe keine aufschiebende Wirkung. Mangels Begründung ist nicht feststellbar, auf welche gesetzliche Grundlage sich die Vorinstanz dabei stützte. Da in der angefochtenen Verfügung keine Wegweisung beziehungsweise Überstellung in den für die Prüfung des Asyl- und Wegweisungsverfahrens zuständigen Staat angeordnet wurde, ist auch nicht ersichtlich, was mit dieser Feststellung bezweckt beziehungsweise welche zwangsweise Durchsetzung damit ermöglicht werden soll. Auch diesbezüglich verletzte das SEM die Begründungspflicht.</w:t>
      </w:r>
    </w:p>
    <w:p>
      <w:r>
        <w:rPr>
          <w:b/>
        </w:rPr>
        <w:t>E. 5.5</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6.1</w:t>
      </w:r>
    </w:p>
    <w:p>
      <w:r>
        <w:t>Die Beschwerde ist somit in Bezug auf den Antrag auf Aufhebung der vorinstanzlichen Verfügung gutzuheissen. Die angefochtene Verfügung ist aufzuheben und die Sache im Sinne der Erwägungen an die Vorinstanz zurückzuweisen.</w:t>
      </w:r>
    </w:p>
    <w:p>
      <w:r>
        <w:rPr>
          <w:b/>
        </w:rPr>
        <w:t>E. 6.2</w:t>
      </w:r>
    </w:p>
    <w:p>
      <w:r>
        <w:t>Angesichts der Rückweisung der Sache an die Vorinstanz erübrigt es sich, auf die materiellen Vorbringen in der Rechtsmitteleingabe einzugehen, weil die Beschwerde Gegenstand des wiederaufzunehmenden erstinstanzlichen Verfahrens sein und die Vorinstanz sich damit zu befassen haben wird. Offen bleiben kann damit auch, ob die vorinstanzlichen Erwägungen zur Begründung des Nichteintretens zutreffend sind.</w:t>
      </w:r>
    </w:p>
    <w:p>
      <w:r>
        <w:rPr>
          <w:b/>
        </w:rPr>
        <w:t>E. 7.1</w:t>
      </w:r>
    </w:p>
    <w:p>
      <w:r>
        <w:t>Bei diesem Ausgang des Beschwerdeverfahrens sind keine Verfahrenskosten aufzuerlegen (vgl. Art. 63 Abs. 1 VwVG). Die Gesuche um Gewährung der unentgeltlichen Prozessführung im Sinne von Art. 65 Abs. 1 VwVG sowie um Verzicht auf die Erhebung eines Kostenvorschusses sind mit vorliegendem Urteil gegenstandslos geworden.</w:t>
      </w:r>
    </w:p>
    <w:p>
      <w:r>
        <w:rPr>
          <w:b/>
        </w:rPr>
        <w:t>E. 7.2</w:t>
      </w:r>
    </w:p>
    <w:p>
      <w:r>
        <w:t>Der Beschwerdeführer beantragte die Gewährung der unentgeltlichen Verbeiständung. Gemäss Art. 65 Abs. 2 VwVG kann einer bedürftigen Partei in einem nicht aussichtslosen Verfahren ein Anwalt beigegeben werden, wenn sie nicht imstande ist, ihre Sache selber zu vertreten. Ungeachtet einer allfälligen Bedürftigkeit ist für die Gewährung der unentgeltlichen Verbeiständung ausschlaggebend, ob die gesuchstellende Partei in der Lage ist, ihre Sache im Verfahren selber wirksam zu vertreten, oder ob sie dazu notwendigerweise professioneller Hilfe bedarf (BGE 122 I 49 E. 2c). Verfahren - wie das vorliegende - sind vom Untersuchungsgrundsatz beherrscht. Die unentgeltliche Verbeiständung ist nur in besonderen Fällen mit erhöhten Schwierigkeiten in rechtlicher oder tatsächlicher Hinsicht zu gewähren. Das vorliegende Verfahren erfüllt diese Kriterien nicht. Mit vorliegendem Urteil ist das Beschwerdeverfahren ohnehin abgeschlossen, weshalb sich auch aus diesem Grund die Gewährung der unentgeltlichen Verbeiständung erübrigt. Das Gesuch ist deshalb abzuweisen.</w:t>
      </w:r>
    </w:p>
    <w:p>
      <w:r>
        <w:rPr>
          <w:b/>
        </w:rPr>
        <w:t>E. 7.3</w:t>
      </w:r>
    </w:p>
    <w:p>
      <w:r>
        <w:t>Anlass zur Ausrichtung einer Parteientschädigung nach Art. 64 VwVG an den nicht vertretenen Beschwerdeführer besteht nicht, zumal sich aufgrund der Akten keine Hinweise ergeben, wonach ihm durch die Einreichung der Beschwerde verhältnismässig hohe Kosten erwachsen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