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D-4086/2023 vom 2. August 2023</w:t>
      </w:r>
    </w:p>
    <w:p>
      <w:r>
        <w:t>Bundesverwaltungsgericht, 2023-08-02, IT</w:t>
      </w:r>
    </w:p>
    <w:p>
      <w:r>
        <w:rPr>
          <w:b/>
        </w:rPr>
        <w:t xml:space="preserve">Quelle: </w:t>
      </w:r>
      <w:r>
        <w:t>https://mcp.opencaselaw.ch/entscheid/bvger_D-4086_2023</w:t>
      </w:r>
    </w:p>
    <w:p>
      <w:r>
        <w:t>FR: TAF D-4086/2023 du 2 août 2023</w:t>
      </w:r>
    </w:p>
    <w:p>
      <w:r>
        <w:t>IT: TAF D-4086/2023 del 2 agosto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versamento delle spese processuali, è respinta.</w:t>
      </w:r>
    </w:p>
    <w:p>
      <w:r>
        <w:rPr>
          <w:b/>
        </w:rPr>
        <w:t>E. 3</w:t>
      </w:r>
    </w:p>
    <w:p>
      <w:r>
        <w:t>Le spese processuali, di fr. 750, sono poste a carico del ricorrente. Il succitato importo dev'essere versato alla cassa del Tribunale, entro un termine di 30 giorni dalla spedizione della presente decisione.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Manuel Borla Adriano Alari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