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D-4085/2016 vom 8. Juli 2016</w:t>
      </w:r>
    </w:p>
    <w:p>
      <w:r>
        <w:t>Bundesverwaltungsgericht, 2016-07-08, DE</w:t>
      </w:r>
    </w:p>
    <w:p>
      <w:r>
        <w:rPr>
          <w:b/>
        </w:rPr>
        <w:t xml:space="preserve">Quelle: </w:t>
      </w:r>
      <w:r>
        <w:t>https://mcp.opencaselaw.ch/entscheid/bvger_D-4085_2016</w:t>
      </w:r>
    </w:p>
    <w:p>
      <w:r>
        <w:t>FR: TAF D-4085/2016 du 8 juillet 2016</w:t>
      </w:r>
    </w:p>
    <w:p>
      <w:r>
        <w:t>IT: TAF D-4085/2016 del 8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Bundesverwaltungsgericht teilt nach Durchsicht der vorinstanzlichen Akten und unter Berücksichtigung der Begründung der Beschwerde die Auffassung der Vorinstanz, wobei in erster Linie auf die zutreffende Begründung in der angefochtenen Verfügung verwiesen werden kann. Insbesondere ist - wie in der Verfügung richtigerweise ausgeführt - nochmals auf den profunden Widerspruch aufmerksam zu machen, dass der Beschwerdeführer in der Befragung angab, nach dem Streit von der Polizei festgehalten worden zu sein, wobei er bei der Anhörung angab, gleich nach diesem Ereignis geflüchtet zu sein. Auch unter Berücksichtigung des summarischen Charakters und allfälligen Übersetzungsschwierigkeiten kann ein derartiger Widerspruch im zentralen Asylvorbringen nicht erklärt werden, zumal er noch Rückfragen zur Festnahme beantwortete. Zudem widerspricht sich der Beschwerdeführer auch in zeitlicher Hinsicht, indem er in der Befragung den Konflikt ausdrücklich auf den Oktober 2014, in der Anhörung hingegen auf Juli 2014 respektive August 2014 datierte. Auch die erst auf Beschwerdeebene geltend gemachte (...) erscheint ohne Einreichung eines ärztlichen Zeugnisses nachgeschoben und vermag zudem die widersprüchlichen Vorbringen nicht zu erklären. Die Vorbringen des Beschwerdeführers vermögen deshalb den Anforderungen an die Glaubhaftmachung der Flüchtlingseigenschaft nicht zu genügen, weshalb darauf verzichtet werden kann, die Asylrelevanz der vorgebrachten Ereignisse zu prüfen. Das SEM hat mithin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Gambia ist demnach unter dem Aspekt von Art. 5 AsylG rechtmässig.</w:t>
      </w:r>
    </w:p>
    <w:p>
      <w:r>
        <w:rPr>
          <w:b/>
        </w:rPr>
        <w:t>E. 7.2.4</w:t>
      </w:r>
    </w:p>
    <w:p>
      <w:r>
        <w:t>Sodann ergeben sich weder aus den Aussagen des Beschwerdeführers noch aus den Akten Anhaltspunkte dafür, dass er für den Fall einer Ausschaffung nach Gambia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Gambia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Aus den Akten sind keine Gründe ersichtlich, die gegen die Zumutbarkeit des Wegweisungsvollzugs sprechen könnten. So sagte der Beschwerdeführer insbesondere in seiner Beschwerde selber, dass die neu geltend gemachte (...) in Gambia behandelt worden sei, weshalb auf weitere diesbezügliche Abklärungen verzichtet werden kann. Weiter verfügt der junge und alleinstehende Beschwerdeführer über ein soziales und familiäres Beziehungsnetz sowie über Verdienstmöglichkeiten, womit ihm die Reintegration nach seiner Abwesenheit möglich sein wird. Somit sprechen weder die allgemeine Lage in Gambia noch individuelle Gründe gegen den Vollzug der Wegweisung. Nach dem Gesagten erweist sich der Vollzug der Wegweisung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Entscheid in der Hauptsache wird das Gesuch um Befreiung von der Kostenvorschusspflicht (gemäss Art. 63 Abs. 4 VwVG) gegenstandslos.</w:t>
      </w:r>
    </w:p>
    <w:p>
      <w:r>
        <w:rPr>
          <w:b/>
        </w:rPr>
        <w:t>E. 9.2</w:t>
      </w:r>
    </w:p>
    <w:p>
      <w:r>
        <w:t>Das Gesuch um Erlass der Verfahrenskosten (im Sinne von Art. 65 Abs. 1 VwVG i.V.m. 110a AsylG) ist im Urteilszeitpunkt abzuweisen, da sich nach vorstehenden Erwägungen die Beschwerde von Anfang an als aussichtslos erwiesen hat. Demzufolge sind dem Beschwerdeführer die Kosten des Verfahrens von Fr. 600.- aufzuerlegen (vgl. Art. 63 Abs. 1 VwVG sowie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