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D-4085/2014 vom 18. September 2014</w:t>
      </w:r>
    </w:p>
    <w:p>
      <w:r>
        <w:t>Bundesverwaltungsgericht, 2014-09-18, DE</w:t>
      </w:r>
    </w:p>
    <w:p>
      <w:r>
        <w:rPr>
          <w:b/>
        </w:rPr>
        <w:t xml:space="preserve">Quelle: </w:t>
      </w:r>
      <w:r>
        <w:t>https://mcp.opencaselaw.ch/entscheid/bvger_D-4085_2014</w:t>
      </w:r>
    </w:p>
    <w:p>
      <w:r>
        <w:t>FR: TAF D-4085/2014 du 18 septembre 2014</w:t>
      </w:r>
    </w:p>
    <w:p>
      <w:r>
        <w:t>IT: TAF D-4085/2014 del 18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sich aus der Zwischenverfügung vom 29. Juli 2014 ergibt, schliesst sich das Bundesverwaltungsgericht vollumfänglich den Erwägungen der Vorinstanz an. Um unnötige Wiederholungen zu vermeiden, ist folglich auf die zutreffenden Erwägungen in der angefochtenen Verfügung und auf diejenigen in der erwähnten Zwischenverfügung zu verweisen. Insbesondere ist nochmals festzuhalten, dass der Beschwerdeführer nach seiner Entlassung aus der Haft im Jahr 2005 während mehrerer Jahre - nämlich bis ins Jahr 2012 - unbehelligt in seinem Heimatland lebte und mit den Behörden des Heimatlandes keine Probleme hatte, wobei er sich gestützt auf die Aktenlage während dieser Zeit nicht im Versteckten aufhielt, sondern einer Arbeit nachging und auch bei den Behörden vorsprach. Damit kann - wie das BFM zutreffend feststellte - seine für die Zeit davor geltend gemachte Verfolgung ungeachtet deren Glaubhaftigkeit als abgeschlossen betrachtet werden. Offensichtlich haben die Festnahmen aus den Jahren 2004 und 2005 und die damit im Zusammenhang stehenden geltend gemachten Nachteile auch die Reise in die Schweiz nicht beeinflusst oder motiviert, da diese ansonsten früher erfolgt wäre und nicht eben in jenem Moment, als sein Arbeitgeber den Laden verkaufte, um auszureisen, und der Beschwerdeführer damit seine Arbeit verlor. Die vorgebrachte Verfolgung des Beschwerdeführers in den Jahren 2004 und 2005 ist somit für die Ausreise aus dem Heimatland nicht kausal gewesen und kann schon aus diesem Grund nicht als asylrelevante Verfolgung betrachtet werden.</w:t>
      </w:r>
    </w:p>
    <w:p>
      <w:r>
        <w:rPr>
          <w:b/>
        </w:rPr>
        <w:t>E. 5.2</w:t>
      </w:r>
    </w:p>
    <w:p>
      <w:r>
        <w:t>Aus den Aussagen des Beschwerdeführers ergibt sich denn auch, dass er sein Heimatland verliess, weil sein Arbeitgeber den Laden verkaufte, in welchem der Beschwerdeführer seinen Lebensunterhalt verdiente, aus Äthiopien ausreiste und der Beschwerdeführer infolgedessen keine Arbeit mehr hatte (vgl. Akte A10/18 S. 5 und 9). Damit macht er indessen wirtschaftliche Schwierigkeiten geltend, welche praxisgemäss nicht als Verfolgungsgrund im Sinne des Gesetzes zu betrachten sind.</w:t>
      </w:r>
    </w:p>
    <w:p>
      <w:r>
        <w:rPr>
          <w:b/>
        </w:rPr>
        <w:t>E. 5.3</w:t>
      </w:r>
    </w:p>
    <w:p>
      <w:r>
        <w:t>Die Furcht des Beschwerdeführers, für weitere fünf Jahre inhaftiert zu werden, erscheint angesichts des vorgebrachten Sachverhaltes als unbegründet. Einerseits zeigt die lange Zeit, während welcher er ohne Probleme mit den Behörden in seinem Heimatland arbeiten und leben konnte, dass er offensichtlich nicht im Visier der Behörden steht. Andererseits sagt er aus, er habe sich politisch seit seiner Freilassung nicht mehr engagiert (vgl. Akte A10/18 S. 8), womit er nicht mehr zur Opposition des Landes zu zählen ist und folglich für die Behörden nicht mehr von Interesse sein dürfte. Bezeichnenderweise wurde gegen ihn gemäss eigenen Aussagen (vgl. Akte A10/18 S. 8) keine Anklage erhoben und er erhielt auch nie eine Vorladung, was die Schlussfolgerung einer fehlenden aktuellen Verfolgung noch untermauert.</w:t>
      </w:r>
    </w:p>
    <w:p>
      <w:r>
        <w:rPr>
          <w:b/>
        </w:rPr>
        <w:t>E. 5.4</w:t>
      </w:r>
    </w:p>
    <w:p>
      <w:r>
        <w:t>Die Vorbringen im Beschwerdeverfahren vermögen an dieser Einschätzung nichts zu ändern. Zwar wird geltend gemacht, der Beschwerdeführer habe sein politisches Engagement, das er im Heimatland begonnen habe, in der Schweiz fortgesetzt und an einer Veranstaltung teilgenommen. Indessen wurden für eine allfällige exponierte exilpolitische Tätigkeit in der Schweiz keine entsprechenden Beweismittel ins Recht gelegt, womit diese Angaben blosse Behauptungen darstellen. Darüber hinaus sind sie pauschal, ohne jeglichen Details und somit gänzlich substanzlos dargestellt worden, weshalb an der Glaubhaftigkeit dieser nachträglichen Vorbringen Zweifel angebracht erscheinen. Schliesslich lassen sich diese Vorbringen nicht mit den Aussagen des Beschwerdeführers anlässlich der Anhörung, wonach er in der Schweiz keinen Kontakt mit Angehörigen der F._______ wünsche und mit keiner exilpolitischen Organisation Kontakt aufgenommen habe (vgl. Akte A10/18 S. 9), vereinbaren, was ebenfalls gegen die exponierte exilpolitische Tätigkeiten spricht. Unabhängig davon, ob diese als glaubhaft gelten können, dürfte im Übrigen allein die Teilnahme des Beschwerdeführers an einer Kundgebung mangels Exponiertheit der eigenen Person nicht zur Anerkennung als Flüchtling führen, auch wenn äthiopische Spitzel im europäischen Raum die exilpolitische Szene beobachten und auffallende Personen sowie Anlässe registrieren, zumal allein eine allfällige Teilnahme des Beschwerdeführers an einer Veranstaltung in der Schweiz zusammen mit vielen anderen Personen nicht als qualifiziertes exilpolitisches Engagement zu sehen ist, denn als Teilnehmer unter vielen anderen Personen dürfte er kaum aufgefallen sein. Jedenfalls lässt sich aus diesen Angaben kein politisches Profil erkennen, das ihn - aus der Sicht der äthiopischen Behörden - als gefährlichen Regimegegner erkennen lassen dürfte.</w:t>
      </w:r>
    </w:p>
    <w:p>
      <w:r>
        <w:rPr>
          <w:b/>
        </w:rPr>
        <w:t>E. 5.5</w:t>
      </w:r>
    </w:p>
    <w:p>
      <w:r>
        <w:t>Insgesamt ergibt sich aus den vorangehenden Erwägungen, dass dem Beschwerdeführer im Fall einer Rückkehr nach Äthiopien weder aufgrund der geltend gemachten Vorfluchtgründe noch infolge der erst nachträglich im Beschwerdeverfahren dargelegten subjektiven Nachfluchtgründe (exilpolitische Aktivitäten) keine Gefährdung im Sinne des Asylgesetzes droht.</w:t>
      </w:r>
    </w:p>
    <w:p>
      <w:r>
        <w:rPr>
          <w:b/>
        </w:rPr>
        <w:t>E. 5.6</w:t>
      </w:r>
    </w:p>
    <w:p>
      <w:r>
        <w:t>Aufgrund der vorstehenden Erwägungen erübrigt es sich, auf die weiteren Ausführungen in der Beschwerde und die Beweismittel einzugehen, weil sei am Ergebnis nichts ändern können. Unter Berücksichtigung der gesamten Umstände folgt, dass der Beschwerdeführer keine Gründe nach Art. 3 AsylG nachweisen oder glaubhaft machen konnte.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Äthiopien herrscht zurzeit keine Situation allgemeiner Gewalt, weshalb in konstanter Praxis von der generellen Zumutbarkeit des Wegweisungsvollzugs in dieses Land ausgegangen wird. Seit der Unterzeichnung des Friedensabkommens zwischen Äthiopien und Eritrea am 12. Dezember 2000 kontrollieren Soldaten der Organisation der Vereinten Nationen (UNO)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relevanten Verschlechterung der allgemeinen Lage in Äthiopien gesprochen werden. Gestützt auf die allgemeine Lage in Äthiopien ist eine Gefährdung des Beschwerde-führers zu verneinen.</w:t>
      </w:r>
    </w:p>
    <w:p>
      <w:r>
        <w:rPr>
          <w:b/>
        </w:rPr>
        <w:t>E. 7.4.2</w:t>
      </w:r>
    </w:p>
    <w:p>
      <w:r>
        <w:t>Es bleibt somit zu prüfen, ob konkrete Anhaltspunkte dafür vor-liegen, dass der Beschwerdeführer im Fall einer Rückkehr aus indivi-duellen Gründen wirtschaftlicher und sozialer Natur in eine existenz-bedrohende Situation geraten würden. Wie das BFM zutreffend fest-hielt, war der gemäss Aktenlage gesunde und noch junge Beschwerde-führer vor seiner Ausreise aus dem Heimatland verschiedentlich beruflich tätig ((...)). Ausserdem leben seine nahen Angehörigen im Heimatland und er verfügte vor seiner Ausreise auch über ein soziales Beziehungsnetz von Freunden und Bekannten. Unter diesen Umständen ist es ihm möglich und zumutbar, sich erneut im Heimatland zu integrieren, zu seinen bis-herigen Bezugspersonen Kontakt aufzunehmen und sich um Arbeit zu bemühen, um für sich eine neue Existenzgrundlage im Heimatland zu schaffen. An dieser Einschätzung vermag die im Beschwerdeverfahren geltend gemachte fehlende berufliche Ausbildung angesichts der mehrjährigen Berufserfahrung nichts zu ändern. Überdies rechtfertigt allein die Tatsache, dass in Äthiopien grosse wirtschaftliche und soziale Schwierigkeiten vorherrschen, praxisgemäss die Gewährung einer vorläufigen Aufnahme nicht, zumal der grösste Teil der in Äthiopien ansässigen Bevölkerung von diesen Problemen betroffen ist.</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12. August 2014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