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D-4080/2007 vom 24. Februar 2010</w:t>
      </w:r>
    </w:p>
    <w:p>
      <w:r>
        <w:t>Bundesverwaltungsgericht, 2010-02-24, DE</w:t>
      </w:r>
    </w:p>
    <w:p>
      <w:r>
        <w:rPr>
          <w:b/>
        </w:rPr>
        <w:t xml:space="preserve">Quelle: </w:t>
      </w:r>
      <w:r>
        <w:t>https://mcp.opencaselaw.ch/entscheid/bvger_D-4080_2007</w:t>
      </w:r>
    </w:p>
    <w:p>
      <w:r>
        <w:t>FR: TAF D-4080/2007 du 24 février 2010</w:t>
      </w:r>
    </w:p>
    <w:p>
      <w:r>
        <w:t>IT: TAF D-4080/2007 del 24 febbraio 2010</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31 - 33 des Verwaltungsgerichtsgesetzes vom 17. Juni 2005 [VGG, SR 173.32];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Art. 50 und Art. 52 VwVG).</w:t>
      </w:r>
    </w:p>
    <w:p>
      <w:r>
        <w:rPr>
          <w:b/>
        </w:rPr>
        <w:t>E. 3</w:t>
      </w:r>
    </w:p>
    <w:p>
      <w:r>
        <w:t>Sachlogisch ist vorab über den Kassationsantrag des Beschwerdefüh-rers zu befinden. Seine Auffassung, das BFM wäre gehalten gewesen, mittels einer Botschaftsanfrage weitere Abklärungen vorzunehmen, kann indes nicht geteilt werden. Vielmehr hat das BFM in ausführ-lichen und gemäss nachfolgenden Ausführungen zutreffenden Erwä-gungen dargelegt, weshalb vorliegend eine begründete Furcht vor asylrelevanten Nachteilen zu verneinen sei. In Anbetracht der Akten-lage ging das BFM zutreffenderweise von einem rechtsgenüglich er-stellten Sachverhalt aus, hatte der Beschwerdeführer doch - wenn auch in Widerspruch zu anderen Aussagen - wiederholt dargelegt, ge-gen ihn sei kein Verfahren eingeleitet worden (A 1/10, S. 6; A 6/17, S. 9). Im Übrigen findet die behördliche Untersuchungsmaxime ihre Grenze in der Mitwirkungspflicht des Betroffenen; allein der Hinweis auf nunmehr allfällig bestehende Akten der Ermittlungsorgane vor Ort bedingt jedenfalls nicht schon zwingend Abklärungen der Asylbehör-den, da der Beschwerdeführer soweit zumutbar gehalten ist, Beweis-mittel im Rahmen der Mitwirkungspflicht selber erhältlich zu machen (Art. 8 Abs. 1 Bst. d AsylG). Durch die blosse Angabe der Adresse ei-nes türkischen Anwalts ist der Mitwirkungspflicht aber offensichtlich nicht genüge getan worden beziehungsweise ergeben sich daraus kei-ne Anhaltspunkte, gegen den Beschwerdeführer sei tatsächlich ein Verfahren eröffnet worden. Nach dem Gesagten bestand beziehungs-weise besteht weder im damaligen noch im jetzigen Zeitpunkt Anlass für die Asylbehörden, zusätzliche Abklärungen vorzunehmen. Der An-trag auf Rückweisung der Sache an die Vorinstanz ist mithin mangels ersichtlicher Gehörsverletzung abzuweisen.</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4.3</w:t>
      </w:r>
    </w:p>
    <w:p>
      <w:r>
        <w:t>Die Vorinstanz hat im angefochtenen Entscheid das politische En-gagement des Beschwerdeführers im geltend gemachten Ausmass für unglaubhaft erachtet. Diese Einschätzung, welche das BFM in über-zeugenden Erwägungen darlegte, teilt auch das Bundesverwaltungs-gericht. Es mag zwar zutreffen, dass der Beschwerdeführer Sympathi-en für die von ihm erwähnten Organisationen empfindet und an der ei-nen oder anderen Veranstaltung verbunden mit einer allfälligen Kurz-festnahme im Anschluss daran teilnahm. Dabei dürfte auch die einge-reichte Bildaufnahme in einem Presseerzeugnis zustande gekommen sein. Dass er sich aber mehr als ein blosser Mitläufer engagiert haben sollte, erscheint entgegen den Beschwerdevorbringen in keiner Weise als plausibel. So war er auch auf wiederholtes Nachfragen nicht in der Lage, seine angebliche Beteiligung bei der Organisation und Durch-führung einer Manifestation auch nur annähernd zu substanziieren (A 6/17, S. 8). Weitere eher stereotype und kaum mit Realkennzeichen versehene Aussagen vermitteln jedenfalls nicht das Bild eines eigent-lichen Politaktivisten (A 6/17, S. 10 und 14). Seine mutmassliche Nähe zu eher linksgerichteten Kreisen und Organisationen ist zwar nicht zu bestreiten. Hingegen kann den vorliegenden Akten nichts entnommen werden, was auf eine markante diesbezügliche Profilierung oder Expo-nierung schliessen lassen würde, zumal er unter anderem angab, nicht Mitglied einer Partei, Organisation oder Bewegung gewesen zu sein (A 1/10, S. 6). In sich eher widersprüchlich erscheinen sodann die An-gaben zur angeblichen behördlichen Vorgehensweise gegen ihn. Einerseits brachte er bei der Summarbefragung vor, die Sicherheits-kräfte hätten seinetwegen zuhause Razzien durchgeführt. Wenig spä-ter legte er indes dar, es bestünden keine konkreten Hinweise für eine behördliche Suche (A 1/10, S. 5 f.). Dieses in sich unstimmige Aus-sageverhalten wiederholte er anlässlich der Anhörung. Auch dort wusste er nicht, ob offiziell nach ihm gesucht werde; gleichzeitig er-wähnte er aber wiederum Razzien bei ihm zuhause (A 6/17, S. 9). In Anbetracht dieser Ungereimtheiten ist jedenfalls nicht glaubhaft, dass die Behörden ein relevantes Verfolgungsinteresse gegen den Be-schwerdeführer entwickelt haben. So hat er es denn bis zum heutigen Zeitpunkt trotz der ihm obliegenden Mitwirkungspflicht unterlassen, mit Hilfe des von ihm bezeichneten Anwalts in der Türkei allfällige Belege, welche die geltend gemachte Verfolgung erhärten würden, beizubrin-gen. Dies rechtfertigt aufgrund der Aktenlage den Schluss, dass auch im heutigen Zeitpunkt nicht aus politischen Gründen gegen ihn im Hei-matland ein Verfahren anhängig gemacht wurde.</w:t>
      </w:r>
    </w:p>
    <w:p>
      <w:r>
        <w:rPr>
          <w:b/>
        </w:rPr>
        <w:t>E. 4.4</w:t>
      </w:r>
    </w:p>
    <w:p>
      <w:r>
        <w:t>Im Weiteren stellen allfällige strafrechtliche Konsequenzen wegen Refraktion, Dienstverweigerung oder Desertion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Ebenfalls illegitim und daher flüchtlingsrechtlich relevant ist eine Einberufung zum Militärdienst, wenn sie darauf abzielt, einem Wehrpflichtigen aus einem der in Art. 3 AsylG genannten Gründe erhebliche Nachteile zu-zufügen oder diesen in völkerrechtlich verpönte Handlungen zu ver-stricken. Beim Beschwerdeführer, welcher den Militärdienst als Flucht-grund anlässlich der Summarbefragung auch auf Nachfragen noch nicht angegeben hatte, bestehen indes nach dem Gesagten und ent-gegen den Beschwerdevorbringen keine konkreten Anhaltspunkte da-für, dass eine allfällige militärstrafrechtliche Sanktion relevant höher als üblich beziehungsweise diskriminierend ausfallen würde. Dies vor allem deshalb, weil weder ein markantes politisches Profil des Beschwerdeführers noch eine relevante Vorverfolgung ersichtlich sind.</w:t>
      </w:r>
    </w:p>
    <w:p>
      <w:r>
        <w:rPr>
          <w:b/>
        </w:rPr>
        <w:t>E. 4.5</w:t>
      </w:r>
    </w:p>
    <w:p>
      <w:r>
        <w:t>Dem Beschwerdeführer ist es demnach nicht gelungen, nachzuweisen oder glaubhaft zu machen, dass er in der Türkei aktuell begründete Furcht vor ernsthaften Nachteilen im Sinne von Art. 3 Abs. 2 AsylG haben muss. Die diesbezüglichen Erwägungen des BFM sind entgegen den Beschwerdevorbringen nicht zu beanstanden. Es erübrigt sich, auf weitere Beschwerdevorbringen oder die beigebrachten Presseartikel näher einzugehen, weil sie am Ergebnis nichts ändern können. Das Bundesamt hat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Bensaid gegen Grossbritannien, Urteil vom 6. Februar 2001, Recueil des arrêts et décisions 2001-I, S. 327 ff., und Saadi ge-gen Italien, Urteil vom 28. Februar 2008 [Application no. 37201/06]). Allein die Möglichkeit eines allfälligen militärstrafrechtlichen Verfahrens erfüllt diese Anforderungen nicht.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(BVGE 2008 Nr. 5).</w:t>
      </w:r>
    </w:p>
    <w:p>
      <w:r>
        <w:rPr>
          <w:b/>
        </w:rPr>
        <w:t>E. 8.2</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8.3</w:t>
      </w:r>
    </w:p>
    <w:p>
      <w:r>
        <w:t>Der Beschwerdeführer lebte gemäss seinen Aussagen vor der Ausreise in _______ und verfügt dort über diverse soziale Anknüp-fungspunkte. Relevante gesundheitliche Probleme können den Akten nicht entnommen werden. Somit ist davon auszugehen, dass er in der Türkei nicht in eine existenzgefährdende Situation geraten wird.</w:t>
      </w:r>
    </w:p>
    <w:p>
      <w:r>
        <w:rPr>
          <w:b/>
        </w:rPr>
        <w:t>E. 8.4</w:t>
      </w:r>
    </w:p>
    <w:p>
      <w:r>
        <w:t>Nach dem Gesagten erweist sich der Vollzug der Wegweisung auch als zumutbar.</w:t>
      </w:r>
    </w:p>
    <w:p>
      <w:r>
        <w:rPr>
          <w:b/>
        </w:rPr>
        <w:t>E. 9</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grundsätzlich dem Beschwerdeführer aufzuerlegen (Art. 63 Abs. 1 VwVG). Da das Gesuch im Sinne von Art. 65 Abs. 1 VwVG mit Zwischenverfügung vom 20. Juni 2007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