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D-4078/2022 vom 29. September 2022</w:t>
      </w:r>
    </w:p>
    <w:p>
      <w:r>
        <w:t>Bundesverwaltungsgericht, 2022-09-29, DE</w:t>
      </w:r>
    </w:p>
    <w:p>
      <w:r>
        <w:rPr>
          <w:b/>
        </w:rPr>
        <w:t xml:space="preserve">Quelle: </w:t>
      </w:r>
      <w:r>
        <w:t>https://mcp.opencaselaw.ch/entscheid/bvger_D-4078_2022</w:t>
      </w:r>
    </w:p>
    <w:p>
      <w:r>
        <w:t>FR: TAF D-4078/2022 du 29 septembre 2022</w:t>
      </w:r>
    </w:p>
    <w:p>
      <w:r>
        <w:t>IT: TAF D-4078/2022 del 29 settembre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Beschwerde, wes- 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w:t>
      </w:r>
    </w:p>
    <w:p>
      <w:r>
        <w:t>D-4078/2022 Seite 4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schutzberechtigter Personen. Er verfüge zwar über eine temporäre Aufenthaltsbewilligung in der Ukraine, könne aber in Sicherheit und dauer- haft in seinen Heimatstaat zurückkehren. Dort habe er keine Probleme mit den marokkanischen Behörden oder Drittpersonen. Des Weiteren sei da- von auszugehen, dass er dort eine wirtschaftliche Existenz werde auf- bauen können.</w:t>
      </w:r>
    </w:p>
    <w:p>
      <w:r>
        <w:rPr>
          <w:b/>
        </w:rPr>
        <w:t>E. 5.2</w:t>
      </w:r>
    </w:p>
    <w:p>
      <w:r>
        <w:t>In seiner Beschwerdeschrift macht der Beschwerdeführer geltend, er habe in Marokko während zwei Jahren ohne seine Familie gelebt, was sehr schwierig gewesen sei. Seine Geschwister lebten im Ausland, sein Vater sei verstorben und von seiner Mutter habe er seit dem Jahr 2017 nichts mehr gehört. Er erhalte in Marokko deshalb keinen Schutz, und es sei ihm</w:t>
      </w:r>
    </w:p>
    <w:p>
      <w:r>
        <w:t>D-4078/2022 Seite 5 nicht möglich, dorthin zurückzukehren. Er wolle sobald als möglich zurück in die Ukraine.</w:t>
      </w:r>
    </w:p>
    <w:p>
      <w:r>
        <w:rPr>
          <w:b/>
        </w:rPr>
        <w:t>E. 6.1</w:t>
      </w:r>
    </w:p>
    <w:p>
      <w:r>
        <w:t>Nach Durchsicht der Akten schliesst sich das Bundesverwaltungs- gericht der Argumentation in der angefochtenen Verfügung an, welcher der Beschwerdeführer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w:t>
      </w:r>
    </w:p>
    <w:p>
      <w:r>
        <w:rPr>
          <w:b/>
        </w:rPr>
        <w:t>E. 6.3</w:t>
      </w:r>
    </w:p>
    <w:p>
      <w:r>
        <w:t>Die Anwendung von Ziff. I Bst. c der Allgemeinverfügung würde unter anderem voraussetzen, dass er nicht in Sicherheit und dauerhaft nach Ma- rokko zurückkehren könnte. Den anlässlich der Befragung vom 3. August 2022 protokollierten Ausfüh- rungen ist zu entnehmen, dass eine dauerhafte Rückkehr in den Heimat- staat unter dem Aspekt der Sicherheit grundsätzlich problemlos möglich wäre (vgl. SEM-Akte 4). Der Beschwerdeführer ist marokkanischer Staats- bürger und hat in der Befragung angegeben, in Marokko nie Probleme mit staatlichen oder anderen Stellen und Drittpersonen gehabt zu haben (A4 F22). An der Annahme, dass er dauerhaft und in Sicherheit nach Marokko zurückkehren kann, vermag auch nicht zu ändern, dass er angeblich kei- nen Kontakt zu seinen Familiengenhörigen pflegt. Schliesslich spricht auch die allgemeine Sicherheitslage nicht gegen seine Rückkehr nach Marokko.</w:t>
      </w:r>
    </w:p>
    <w:p>
      <w:r>
        <w:rPr>
          <w:b/>
        </w:rPr>
        <w:t>E. 6.4</w:t>
      </w:r>
    </w:p>
    <w:p>
      <w:r>
        <w:t>Das SEM hat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t>D-4078/2022 Seite 6</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D-4078/2022 Seite 7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Der Beschwerdeführer ist ein jun- ger, gesunder Mann auf dem Weg zu einer soliden universitären Ausbil- dung. Es ist ihm ohne weiteres möglich, sein laufendes Architekturstudium durch die Teilnahme an den Online-Vorlesungen von Marokko aus fortzu- führen. Zudem verfügt er in Marokko – zumindest mit seinem Freund, bei welchem er bei seinem letzten Aufenthalt in seinem Heimatstaat unterge- kommen ist – über Beziehungen, aufgrund derer er im Bedarfsfall Unter- stützung erhalten kann. Daran ändert auch nichts, dass er seinen Angaben zufolge mit seiner Familie (insbesondere seiner sich noch in Marokko be- findenden Mutter) keinen Kontakt mehr pflegt, zumal keine Gründe ersicht- lich sind, weshalb er im Fall von Unterstützungsbedarf den Aufenthaltsort seiner Mutter nicht ausfindig machen und Kontakt zu ihr aufnehmen könnte.</w:t>
      </w:r>
    </w:p>
    <w:p>
      <w:r>
        <w:t>D-4078/2022 Seite 8</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Nach Prüfung der Akten haben sich die gestellten Rechtsbegehren als aussichtslos erwiesen, weshalb das Gesuch um Gewährung der unent- geltlichen Prozessführung gemäss Art. 65 Abs. 1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D-4078/2022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