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D-4077/2010 vom 29. Juni 2011</w:t>
      </w:r>
    </w:p>
    <w:p>
      <w:r>
        <w:t>Bundesverwaltungsgericht, 2011-06-29, DE</w:t>
      </w:r>
    </w:p>
    <w:p>
      <w:r>
        <w:rPr>
          <w:b/>
        </w:rPr>
        <w:t xml:space="preserve">Quelle: </w:t>
      </w:r>
      <w:r>
        <w:t>https://mcp.opencaselaw.ch/entscheid/bvger_D-4077_2010</w:t>
      </w:r>
    </w:p>
    <w:p>
      <w:r>
        <w:t>FR: TAF D-4077/2010 du 29 juin 2011</w:t>
      </w:r>
    </w:p>
    <w:p>
      <w:r>
        <w:t>IT: TAF D-4077/2010 del 29 giugno 2011</w:t>
      </w:r>
    </w:p>
    <w:p>
      <w:pPr>
        <w:pStyle w:val="Heading2"/>
      </w:pPr>
      <w:r>
        <w:t>Regeste</w:t>
      </w:r>
    </w:p>
    <w:p>
      <w:r>
        <w:t>Asyl (ohne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erachtete die geltend gemachten Gründe für die Ausreise des Beschwerdeführers aus dem Heimatstaat als den Anforderungen an die Flüchtlingseigenschaft gemäss Art. 3 AsylG nicht genügend; es liege kein Verfolgungsmotiv im Sinne von Art. 3 Abs. 1 AsylG vor. Dieser Einschätzung ist beizupflichten. Eine Überprüfung der Akten ergibt, dass das BFM die Vorbringen des Beschwerdeführers aus zutreffenden Gründen als den Anforderungen an die Flüchtlingseigenschaft nicht genügend qualifiziert hat. Es kann somit vorab auf die nicht zu beanstandenden Ausführungen des BFM verwiesen werden. Den Rechtsmitteleingaben des Beschwerdeführers sind keine stichhaltigen Entgegnungen zu entnehmen, die die Argumentation des BFM in Zweifel zu ziehen vermöchten.</w:t>
      </w:r>
    </w:p>
    <w:p>
      <w:r>
        <w:rPr>
          <w:b/>
        </w:rPr>
        <w:t>E. 4.1</w:t>
      </w:r>
    </w:p>
    <w:p>
      <w:r>
        <w:t>Der Beschwerdeführer machte geltend, er sei aus seinem Heimatstaat geflohen, da er nach der strafrechtlichen Verurteilung seines Mandanten C._______ von diesem und dessen Familie im Sinne der albanischen Blutrachetradition mit dem Tod bedroht worden sei.</w:t>
      </w:r>
    </w:p>
    <w:p>
      <w:r>
        <w:rPr>
          <w:b/>
        </w:rPr>
        <w:t>E. 4.2</w:t>
      </w:r>
    </w:p>
    <w:p>
      <w:r>
        <w:t>Eine Verfolgung durch nichtstaatliche Akteure kann grundsätzlich flüchtlingsrechtlich relevant sein, wenn es der betroffenen Person nicht möglich ist, davor im Heimatstaat adäquaten Schutz zu finden (vgl. Entscheidungen und Mitteilungen der [vormaligen] Schweizerischen Asylrekurskommission [EMARK] 2006 Nr. 18). Unabhängig von der Frage, ob der Beschwerdeführer in diesem Sinne eine begründete Furcht vor Verfolgung durch die Familie F._______ hat, hängt die Flüchtlingseigenschaft jedoch davon ab, ob der geltend gemachten Verfolgung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das sie "andersartig" macht,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EMARK 2006 Nr. 32).</w:t>
      </w:r>
    </w:p>
    <w:p>
      <w:r>
        <w:rPr>
          <w:b/>
        </w:rPr>
        <w:t>E. 4.2.1</w:t>
      </w:r>
    </w:p>
    <w:p>
      <w:r>
        <w:t>Vorliegend ist hinsichtlich der Frage, ob ein flüchtlingsrechtlich relevantes Verfolgungsmotiv gegeben ist, unbestritten, dass der Beschwerdeführer nicht wegen seiner Rasse, seiner Religion oder seiner Nationalität einer Gefährdung ausgesetzt ist. Hingegen machte er auf Beschwerdeebene geltend, es handle sich bei den albanischen Anwälten und Richtern um eine exponierte und umstrittene bestimmte soziale Gruppe im Sinne von Art. 3 Abs. 1 AsylG, der er zuzuordnen sei. Zudem sei die Verfolgung auch in seiner politischen Überzeugung, sich trotz des schwierigen Umfelds, das das albanische Justizsystem biete, an den anwaltlichen Berufskodex zu halten und neutral zu handeln, begründet.</w:t>
      </w:r>
    </w:p>
    <w:p>
      <w:r>
        <w:rPr>
          <w:b/>
        </w:rPr>
        <w:t>E. 4.2.2</w:t>
      </w:r>
    </w:p>
    <w:p>
      <w:r>
        <w:t>Das Kriterium der "Zugehörigkeit zu einer bestimmten sozialen Gruppe" bezieht sich auf Personen, die ein Kollektiv bilden, das sich durch ein gemeinsames soziales Merkmal auszeichnet, welches Anknüpfungspunkt und Anlass für sachlich nicht gerechtfertigte Verfolgungsmassnahmen bildet. Vorliegend wurde dem Beschwerdeführer indes nicht wegen der Zugehörigkeit zu einer zur Verfolgung ausgesonderten bestimmten Gruppe, d. h. wegen seines "Anders-Seins", Blutrache von Seiten der Familie seines Mandanten angedroht, sondern wegen der konkreten Ausübung des betreffenden Mandats (d. h. des "Tuns"). Anlass zu der Bedrohungssituation hat mithin nicht seine Eigenschaft als Anwalt an sich gegeben. Er wird nicht bedroht, weil er von Beruf Anwalt ist; die ausgesprochenen Todesdrohungen knüpfen vielmehr an die konkrete Tätigkeit im Rahmen der Ausführung des entsprechenden Mandats an. Die Frage, ob Berufsgruppen überhaupt bestimmte soziale Gruppen im Sinne von Art. 3 Abs. 1 AsylG darstellen können, beziehungsweise ob in Albanien tätige Anwälte eine solche Gruppe bilden, kann daher offen bleiben. Das Verfolgungsmotiv der "politischen Anschauungen" ist ebenfalls zu verneinen. Die vorgebrachte Gefahr einer Vergeltungstat durch die Familie F._______ fusst vielmehr auf dem für den Mandanten C._______ negativen Prozessausgang. Es liegt daher kein Verfolgungsmotiv im Sinne von Art. 3 Abs. 1 AsylG vor.</w:t>
      </w:r>
    </w:p>
    <w:p>
      <w:r>
        <w:rPr>
          <w:b/>
        </w:rPr>
        <w:t>E. 4.3</w:t>
      </w:r>
    </w:p>
    <w:p>
      <w:r>
        <w:t>Der Beschwerdeführer erfüllt damit die Flüchtlingseigenschaft gemäss Art. 3 AsylG nicht, weshalb das Bundesamt das Asylgesuch zu Recht abgelehnt hat.</w:t>
      </w:r>
    </w:p>
    <w:p>
      <w:r>
        <w:rPr>
          <w:b/>
        </w:rPr>
        <w:t>E. 5</w:t>
      </w:r>
    </w:p>
    <w:p>
      <w:r>
        <w:t>Lehnt das Bundesamt das Asylgesuch ab oder tritt es darauf nicht ein, so verfügt es in der Regel die Wegweisung aus der Schweiz und ordnet den Vollzug an (Art. 44 Abs. 1 AsylG). In casu wurde die Wegweisung nicht angefochten, weshalb sich weitere Ausführungen hierzu erübrigen.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erfüllt ist, ist der Vollzug als undurchführbar zu betrachten und die weitere Anwesenheit der betroffenen Person in der Schweiz gemäss den Bestimmungen über die vorläufige Aufnahme zu regeln (vgl. BVGE 2009/51 E. 5.4 S. 748; EMARK 2006 Nr. 6 E. 4.2 S. 54 f.).</w:t>
      </w:r>
    </w:p>
    <w:p>
      <w:r>
        <w:rPr>
          <w:b/>
        </w:rPr>
        <w:t>E. 6.2</w:t>
      </w:r>
    </w:p>
    <w:p>
      <w:r>
        <w:t>Das BFM erachtete den Vollzug der Wegweisung als unzulässig, weshalb es die vorläufige Aufnahme des Beschwerdeführers anordnete. Weitere Ausführungen zur Durchführbarkeit des Wegweisungsvollzugs erübrigen sich damit.</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dessen Kosten grundsätzlich dem Beschwerdeführer aufzuerlegen (Art. 63 Abs. 1 VwVG). Da die Beschwerde jedoch nicht als aussichtslos betrachtet werden konnte und die Bedürftigkeit des Beschwerdeführers belegt ist, sind in Gutheissung des Gesuchs um Gewährung der unentgeltlichen Rechtspflege gemäss Art. 65 Abs. 1 VwVG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