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D-4076/2023 vom 10. Januar 2024</w:t>
      </w:r>
    </w:p>
    <w:p>
      <w:r>
        <w:t>Bundesverwaltungsgericht, 2024-01-10, DE</w:t>
      </w:r>
    </w:p>
    <w:p>
      <w:r>
        <w:rPr>
          <w:b/>
        </w:rPr>
        <w:t xml:space="preserve">Quelle: </w:t>
      </w:r>
      <w:r>
        <w:t>https://mcp.opencaselaw.ch/entscheid/bvger_D-4076_2023</w:t>
      </w:r>
    </w:p>
    <w:p>
      <w:r>
        <w:t>FR: TAF D-4076/2023 du 10 janvier 2024</w:t>
      </w:r>
    </w:p>
    <w:p>
      <w:r>
        <w:t>IT: TAF D-4076/2023 del 10 gennaio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D-4076/2023 Seite 5 von Art. 32 VGG liegt nicht vor. Das Bundesverwaltungsgericht ist daher zuständig für die Beurteilung der vorliegenden Beschwerde und entschei- det auf dem Gebiet des Asyls endgültig, ausser bei Vorliegen eines Aus- lieferungsersuchens des Staates, vor welchem die beschwerdeführende Person Schutz sucht (Art. 105 AsylG Art. 83 Bst. d Ziff. 1 BGG). Eine sol- che Ausnahme im Sinne von Art. 83 Bst. d Ziff. 1 BGG liegt nicht vor, wes- 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Der Beschwerdeführer rügte die Verletzung des Untersuchungsgrund- satzes, des rechtlichen Gehörs und des Akteneinsichtsrecht. Formelle Rü- gen sind zuerst zu behandeln, da sie geeignet sein könnten, eine Kassation der vorinstanzlichen Verfügung zu bewirken (vgl. BVGE 2013/34 E. 4.2).</w:t>
      </w:r>
    </w:p>
    <w:p>
      <w:r>
        <w:rPr>
          <w:b/>
        </w:rPr>
        <w:t>E. 4.2</w:t>
      </w:r>
    </w:p>
    <w:p>
      <w:r>
        <w:t>Das Verwaltungs- respektive Asylverfahren wird vom Untersuchungs- grundsatz beherrscht (Art. 12 VwVG i.V.m. Art. 6 AsylG). Demnach hat die Behörde von Amtes wegen für die richtige und vollständige Abklärung des</w:t>
      </w:r>
    </w:p>
    <w:p>
      <w:r>
        <w:t>D-4076/2023 Seite 6 rechtserheblichen Sachverhalts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der betroffenen Partei tatsächlich hört, sorgfältig und ernsthaft prüft und in der Entscheid- findung berücksichtigt, was sich entsprechend in der Entscheidbegründung niederschlagen muss (BVGE 2015/10 E. 3.3 m.w.H.).</w:t>
      </w:r>
    </w:p>
    <w:p>
      <w:r>
        <w:rPr>
          <w:b/>
        </w:rPr>
        <w:t>E. 4.4</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t>D-4076/2023 Seite 7</w:t>
      </w:r>
    </w:p>
    <w:p>
      <w:r>
        <w:rPr>
          <w:b/>
        </w:rPr>
        <w:t>E. 4.5.1</w:t>
      </w:r>
    </w:p>
    <w:p>
      <w:r>
        <w:t>Der Beschwerdeführer rügte, der Befragungsstil während seiner An- hörung sei konfrontativ gewesen, es sei deshalb zu vermeintlichen Wider- sprüchen gekommen. Hierzu ist festzustellen, dass dem Anhörungsproto- koll keine Anhaltspunkte auf einen aggressiven oder konfrontativen Befra- gungsstil entnommen werden können, vielmehr ist die Vorinstanz dazu ver- pflichtet, auf allfällige Widersprüche aufmerksam zu machen und der ge- suchstellenden Person die Möglichkeit zu geben, allfällige Widersprüche und Unklarheiten zu erklären oder auszuräumen (vgl. Handbuch Asyl und Rückkehr des SEM, Kap. 2.5.4 und 2.6.5). Auch hat die während der An- hörung anwesende Rechtsvertretung keine Beanstandung angebracht, welche auf eine fehlerhafte Befragung hinweisen würden. Vor diesem Hin- tergrund erweist sich die Rüge einer mangelhaften Befragung als unbe- gründet.</w:t>
      </w:r>
    </w:p>
    <w:p>
      <w:r>
        <w:rPr>
          <w:b/>
        </w:rPr>
        <w:t>E. 4.5.2</w:t>
      </w:r>
    </w:p>
    <w:p>
      <w:r>
        <w:t>Die Kritik des Beschwerdeführers, der Sachverhalts sei bezüglich der zentralen Asylvorbringen und einer allfälligen Reflexverfolgung ungenü- gend abgeklärt worden, kann nicht gehört werden. Die Vorinstanz hat in ihrer Verfügung ausführlich und nachvollziehbar erklärt, weshalb sie seine Vorbringen als unglaubhaft erachtet und weshalb bei seiner Rückkehr nicht von einer Reflexverfolgung auszugehen sei. Hierbei handelt es sich im Üb- rigen nicht um formelles, sondern um materielles Recht (vgl. E. 6.1 hier- nach).</w:t>
      </w:r>
    </w:p>
    <w:p>
      <w:r>
        <w:rPr>
          <w:b/>
        </w:rPr>
        <w:t>E. 4.5.3</w:t>
      </w:r>
    </w:p>
    <w:p>
      <w:r>
        <w:t>Ferner erweist sich die Rüge, dass ihm keine Akteneinsicht in die Ak- ten des Bruders gewährt wurde, obwohl diese beigezogen worden seien, ebenfalls als unbegründet. Es wäre ihm oblegen, eine für die Akteneinsicht in fremde Akten notwendige Einverständniserklärung bei seinen Geschwis- tern einzuholen. Indem er dies unterlassen hat, ist davon auszugehen, dass er auf die Einsicht dieser Akten verzichtet hat. Die Vorinstanz hat im Übrigen in ihrer Verfügung lediglich ausgeführt, die Akten seiner Geschwis- ter beigezogen zu haben. und hat deren Verfahrensstand festgestellt (vgl. SEM-Akte A23/12, S. 2 4. Abschnitt) sowie aufgezeigt, dass auch die Konsultation der Asyldossiers seiner Geschwister zu keiner anderen Ein- schätzung seiner Vorbringen geführt hätten (vgl. SEM-Akte A23/12, S. 8 letzter Abschnitt).</w:t>
      </w:r>
    </w:p>
    <w:p>
      <w:r>
        <w:rPr>
          <w:b/>
        </w:rPr>
        <w:t>E. 4.6</w:t>
      </w:r>
    </w:p>
    <w:p>
      <w:r>
        <w:t>Nach dem Gesagten erweisen sich die formellen Rügen als unbegrün- det und sind deshalb abzuweisen.</w:t>
      </w:r>
    </w:p>
    <w:p>
      <w:r>
        <w:t>D-4076/2023 Seite 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rPr>
          <w:b/>
        </w:rPr>
        <w:t>E. 6.1</w:t>
      </w:r>
    </w:p>
    <w:p>
      <w:r>
        <w:t>Die Vorinstanz bezweifelte die Glaubhaftigkeit der Vorbringen des Be- schwerdeführers und hielt fest, dass es neben seinen insgesamt unsub- stanziierten und arm an Realkennzeichen versehenen Schilderungen sei- ner Fluchtgründe zu verschiedenen Widersprüchen gekommen sei. Wäh- rend seiner Anhörung habe er mehrfach ausgeführt, anlässlich der 1. Mai- Kundgebung 2015 zweimal festgenommen worden zu sein, wohingegen aus dem Schreiben seiner türkischen Anwältin hervorgehe, dass er einmal 2015 und einmal 2022 festgenommen worden sei. Sodann habe er zum Vorfall vom 3. September 2022 geschildert, einzig in Anwesenheit des</w:t>
      </w:r>
    </w:p>
    <w:p>
      <w:r>
        <w:t>D-4076/2023 Seite 9 Geheimdienstvorstehers befragt worden zu sein, im Anwaltsschreiben stehe jedoch, dass noch ein weiterer Beamter dabei gewesen sei. Eben- falls widersprüchlich sei das Vorbringen, um welche Tageszeit er die An- wältin nach seiner Mitnahme respektive Freilassung kontaktiert habe. In seiner Anhörung habe er angegeben, sie nicht persönlich sowie tagsüber kontaktiert zu haben, wohingegen im Schreiben derselben stehe, dass er sie persönlich mitten in der Nacht angerufen habe. Es sei ihm nicht gelun- gen, diese Widersprüche aufzulösen. Die beiden eingereichten Videos der Überwachungskamera des Nachbarhauses, welche belegen sollten, dass es nach seiner Ausreise zu einer Hausdurchsuchung gekommen und er polizeilich gesucht worden sei, seien untauglich: Das erste Video zeige zwei Männer, die aus einem Fahrzeug ausstiegen und ein wenig umherlie- fen, am 30. Oktober 2022 um 23:51:04 Uhr das Elternhaus betreten und auf dem zweiten Video dreieinhalb Minuten später um 23:54:35 Uhr das Haus wieder verlassen hätten. Es erstaune, dass die Tür nachts nicht ab- geschlossen gewesen sei und eine Hausdurchsuchung im zweiten Stock der elterlichen Wohnung innerhalb von dreieinhalb Minuten durchgeführt sowie die Eltern befragt worden sein sollten. Ferner spreche gegen eine asylrechtlich relevante Verfolgung, dass er keine strafrechtlichen Einträge habe, mehrmals problemlos aus- und wieder eingereist sei und zuletzt ebenfalls legal sowie problemlos aus der Türkei habe ausreisen können. Seiner Befürchtung, dass er während des noch ausstehenden Militärdiens- tes als Kurde benachteiligt und diskriminiert werde, sei entgegenzuhalten, dass es zwar im Alltag und in der türkischen Armee zu vermehrten Schika- nen durch türkischstämmige Personen können könne; bei dieser Art von Schikanen handle es sich jedoch nicht um ernsthafte Nachteile im Sinne der Asylgesetzes. Auch wenn es möglich sei, dass Mitglieder der legalen Partei DHP befragt und schikaniert würden, bestehe aufgrund der Tatsache allein, dass er dieser Partei angehöre, keine erhebliche Wahrscheinlichkeit, dass er für die türkischen Behörden von Interesse wäre, zumal er auch nicht in einer exponierten Stellung für die HDP tätig gewesen sei. Seine Befürchtung, aufgrund seiner politisch aktiven Familie reflexverfolgt zu werden, erweise sich ebenfalls als wenig stichhaltig, zumal seine Schilde- rungen insgesamt unglaubhaft ausgefallen seien und keine Hinweise auf eine flüchtlingsrechtlich relevante Verfolgung schliessen lassen würden. Zudem seien sein Vater und sein Bruder bereits inhaftiert gewesen. Ge- mäss Erkenntnissen des SEM bestehe bei bereits inhaftierten Personen in der Regel keine Gefahr der Reflexverfolgung.</w:t>
      </w:r>
    </w:p>
    <w:p>
      <w:r>
        <w:rPr>
          <w:b/>
        </w:rPr>
        <w:t>E. 6.2</w:t>
      </w:r>
    </w:p>
    <w:p>
      <w:r>
        <w:t>Der Beschwerdeführer entgegnete in seiner Beschwerde, die vermeint- lichen Widersprüche seien dem Befragungsstil geschuldet und es handle</w:t>
      </w:r>
    </w:p>
    <w:p>
      <w:r>
        <w:t>D-4076/2023 Seite 10 sich dabei lediglich um Missverständnisse. Die Anwältin habe bei der Re- daktion des Schreibens einzelne Inhalte falsch verstanden. Wenn seitens der Vorinstanz etwas unklar gewesen wäre, hätte diese nachfragen müs- sen. Seine Anwältin in der Türkei überprüfe regelmässig, ob bereits Akten im UYAP (Ulusal Yargi A i Bili im Sistemi [türkisches Justiz-Informations- system]) hinterlegt seien und das Strafverfahren gegen ihn auch offiziell eröffnet worden sei. Er werde die entsprechenden Akten umgehend dem Gericht einreichen. Weiter sei der Umstand, dass er erst sieben Wochen nach Ablauf der Gültigkeit seines Visums um Asyl in der Schweiz ersucht habe, nicht relevant für die Einschätzung seines Asylgesuchs. Ferner be- fürchte er, aufgrund der Überschreitung der Visumsdauer bezüglich seines Aufenthalts von der Grenzpolizei befragt und überprüft zu werden. Dabei würde festgestellt, dass er aus einer hochpolitischen Familie stamme, sein Bruder und seine Schwestern in der Schweiz Asyl erhalten respektive da- rum ersucht hätten und sein Vater bereits inhaftiert gewesen sei. Dies würde in der Türkei zu einer Inhaftierung und einer anschliessenden Eröff- nung eines Strafverfahrens führen.</w:t>
      </w:r>
    </w:p>
    <w:p>
      <w:r>
        <w:rPr>
          <w:b/>
        </w:rPr>
        <w:t>E. 7.1</w:t>
      </w:r>
    </w:p>
    <w:p>
      <w:r>
        <w:t>Nach Durchsicht der Akten kommt das Gericht in Übereinstimmung mit der Vorinstanz zum Schluss, dass es dem Beschwerdeführer nicht gelun- gen ist, eine flüchtlingsrechtlich relevante Verfolgung darzulegen. Betref- fend die mangelnde Glaubhaftigkeit ist vollumfänglich auf die vorinstanzli- che Verfügung zu verweisen, worin ausführlich begründet wird, weshalb seine Schilderungen zu seiner Festnahme, der anschliessenden Befra- gung am 3. September 2022 durch einen Vorsteher der Geheimdienstpoli- zei sowie die nach seiner Ausreise erfolgte Hausdurchsuchung vom 31. Oktober 2022 substanzlos und in der Gesamtschau unglaubhaft aus- gefallen sind. Auch die eingereichten Videos, welche die Hausdurchsu- chung vom 31. Oktober 20202 belegen sollen, vermögen eine allfällige Verfolgungsgefahr nicht zu belegen. Auch diesbezüglich ist vollumfänglich auf die Verfügung der Vorinstanz zu verweisen. Ergänzend ist festzustel- len, dass er bisher weder strafrechtlich verfolgt noch verurteilt worden war (vgl. SEM-Akte A15/18, F102 f.) und entsprechend auch im Schreiben sei- ner türkischen Anwältin bestätigt wurde, dass mehreren angefragten Staatsanwälten in Istanbul zufolge weder Ermittlungen noch Strafverfahren gegen ihn eröffnet worden sind (vgl. SEM-Akte ID-002). Auch reichte er keine Akten ein, welche zu einer gegenteiligen Einschätzung führen könn- ten. Ferner erweist sich seine Befürchtung, aufgrund seines familiären po- litischen Hintergrunds sowie wegen der Verurteilungen seines Bruders und Vaters auch ins Visier der Behörden zu geraten, nicht überzeugend, zumal</w:t>
      </w:r>
    </w:p>
    <w:p>
      <w:r>
        <w:t>D-4076/2023 Seite 11 er bisher ohne erhebliche Probleme in der Türkei gelebt hat und ihm trotz der mehrerer Jahre zurückliegenden Strafverfahren seines Bruders und Vaters keine diesbezüglichen Nachteile entstanden sind. Sodann erweist sich der Druck seitens der türkischen Beamten zur Spitzeltätigkeit ebenso ungeeignet, eine asylrechtlich relevante Verfolgung oder einen unerträgli- chen psychischen Druck im Sinne des Asylgesetzes zu begründen, wie auch die mehrmaligen Mitnahmen aufgrund seiner (eher niederschwelli- gen) Tätigkeit bei der HDP.</w:t>
      </w:r>
    </w:p>
    <w:p>
      <w:r>
        <w:rPr>
          <w:b/>
        </w:rPr>
        <w:t>E. 7.2</w:t>
      </w:r>
    </w:p>
    <w:p>
      <w:r>
        <w:t>Der Beschwerdeführer machte weiter geltend, dass er befürchte, wäh- rend seines noch bevorstehenden Militärdienstes als Kurde Schikanen ausgesetzt oder wie zahlreiche andere Kurden während des Dienstes um- gebracht zu werden. Hierzu ist festzuhalten, seine Befürchtung einerseits lediglich auf dem Hörensagen und auf Hypothesen beruht und er keine konkreten Ereignisse hierzu anbringen konnte. Anderseits ist es zwar mög- lich, dass Kurden – auch während des Militärdienstes – in der Türkei Schi- kanen und Benachteiligungen ausgesetzt sein können, jedoch führt nicht bereits die Tatsache, dass er kurdischer Ethnie ist, zur Feststellung der Flüchtlingseigenschaft und zur Asylgewährung. Hierzu ist ausserdem fest- zustellen, dass praxisgemäss hohe Anforderungen für die Annahme einer Kollektivverfolgung gestellt werden (vgl. BVGE 2014/32 E. 6.1; 2013/12 E. 6), welche im Falle der Kurden in der Türkei – auch unter Berücksichti- gung der aktuellen politischen Entwicklungen – nicht als erfüllt zu erachten sind (vgl. hierzu etwa die Urteile des BVGer D-2424/2021 vom 9. Mai 2022 E. 6.2; E-3917/2021 vom 11. Januar 2022 E. 6.3; D-2759/2020 vom 29. September 2021 E. 7.2; D-36/2018 vom 12. Oktober 2020 E. 6.2).</w:t>
      </w:r>
    </w:p>
    <w:p>
      <w:r>
        <w:rPr>
          <w:b/>
        </w:rPr>
        <w:t>E. 7.3</w:t>
      </w:r>
    </w:p>
    <w:p>
      <w:r>
        <w:t>Zusammenfassend kommt das Gericht zum Schluss, dass es dem Be- schwerdeführer nicht gelungen ist glaubhaft darzulegen, in seinem Heimat- land in asylrechtlich relevanter Weise verfolgt worden zu sein oder in naher Zukunft einer solchen Verfolgung ausgesetzt zu werden. Ebenfalls gelang es ihm nicht, eine Reflexverfolgung glaubhaft darzulegen.</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8.2</w:t>
      </w:r>
    </w:p>
    <w:p>
      <w:r>
        <w:t>Der Beschwerdeführer verfügt weder über eine ausländerrechtliche Aufenthaltsbewilligung noch über einen Anspruch auf Erteilung einer</w:t>
      </w:r>
    </w:p>
    <w:p>
      <w:r>
        <w:t>D-4076/2023 Seite 12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seinen Heimatstaat Türkei ist demnach unter dem Aspekt von Art. 5 AsylG recht- mässig.</w:t>
      </w:r>
    </w:p>
    <w:p>
      <w:r>
        <w:t>D-4076/2023 Seite 13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der Türkei lässt den Wegweisungsvollzug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vgl. BVGE 2013/2 E. 9.6) sowie der Entwick- lungen nach dem Militärputschversuch im Juli 2016 ist gemäss konstanter Praxis nicht von einer Situation allgemeiner Gewalt oder bürgerkriegsähn- lichen Verhältnissen in der Türkei – auch nicht für Angehörige der kurdi- schen Ethnie – auszugehen (vgl. vgl. statt vieler Urteil des BVGer E-4607/2021 vom 12. Januar 2022 E. 9.3.1 m.w.H. sowie das Referenzur- teil E-1948/2018 vom 12. Juni 2018 E. 7.3.1).</w:t>
      </w:r>
    </w:p>
    <w:p>
      <w:r>
        <w:rPr>
          <w:b/>
        </w:rPr>
        <w:t>E. 9.4.1</w:t>
      </w:r>
    </w:p>
    <w:p>
      <w:r>
        <w:t>Schliesslich liegen keine individuellen Gründe vor, die gegen einen Wegweisungsvollzug sprechen würden. Der Beschwerdeführer verfügt</w:t>
      </w:r>
    </w:p>
    <w:p>
      <w:r>
        <w:t>D-4076/2023 Seite 14 über einen Schulabschluss und mehrjährige Berufserfahrung als (…). Zu- dem wird es ihm möglich sein, seine abgebrochene Weiterbildung an ei- nem (…) erneut aufzunehmen sowie abzuschliessen, um seine beruflichen Möglichkeiten zu erweitern. Bei seiner Rückkehr wird es ihm auch möglich sein, seinen zuvor ausgeübten Beruf erneut aufzunehmen. Er ist in Istanbul aufgewachsen und kann dort auf ein breites soziales und familiäres Netz- werk zurückgreifen, welches ihm bei Bedarf zu Seite stehen kann. Sodann ist auch seine Wohnsituation gesichert, zumal er bis zu seiner Ausreise im Oktober 2022 in der Wohnung gemeinsam mit seinen Eltern gelebt hat. Auch sein gesundheitlicher Zustand lässt einen Wegweisungsvollzug nicht als unzumutbar erscheinen. Zwar machte er anlässlich der Anhörung gel- tend, er leide an psychischen Problemen. Seine medizinischen Vorbringen wurden jedoch nicht anhand eines Arztberichtes bestätigt, so dass nicht davon auszugehen ist, dass es sich bei seinen Leiden um gravierende me- dizinische Beschwerden handelt, welche nicht auch in der Türkei behandelt werden könnten.</w:t>
      </w:r>
    </w:p>
    <w:p>
      <w:r>
        <w:rPr>
          <w:b/>
        </w:rPr>
        <w:t>E. 9.4.2</w:t>
      </w:r>
    </w:p>
    <w:p>
      <w:r>
        <w:t>Nach dem Gesagten erweist sich der Vollzug der Wegweisung auch als zumutbar.</w:t>
      </w:r>
    </w:p>
    <w:p>
      <w:r>
        <w:rPr>
          <w:b/>
        </w:rPr>
        <w:t>E. 9.5</w:t>
      </w:r>
    </w:p>
    <w:p>
      <w:r>
        <w:t>Schliesslich verfügt der Beschwerdeführer über einen bis zum 25. Juni 2025 gültigen Reisepass,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Wie bereits in der Zwischenverfügung vom 25. August 2023 festgestellt wurde, erweist sich die Beschwerde als offensichtlich unbegründet. Bei die- sem Ausgang des Verfahrens sind die Kosten von Fr. 750.– dem Beschwerdeführer aufzuerlegen (Art. 1–3 des Reglements vom 21. Feb- ruar 2008 über die Kosten und Entschädigungen vor dem Bundesverwal- tungsgericht [VGKE; SR 173.320.2]; Art. 63 Abs. 1 VwVG). Der in gleicher</w:t>
      </w:r>
    </w:p>
    <w:p>
      <w:r>
        <w:t>D-4076/2023 Seite 15 Höhe geleistete Kostenvorschuss ist zur Bezahlung der Verfahrenskosten zu verwenden.</w:t>
      </w:r>
    </w:p>
    <w:p>
      <w:r>
        <w:t>(Dispositiv nächste Seite)</w:t>
      </w:r>
    </w:p>
    <w:p>
      <w:r>
        <w:t>D-4076/2023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