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D-4070/2011 vom 27. Januar 2012</w:t>
      </w:r>
    </w:p>
    <w:p>
      <w:r>
        <w:t>Bundesverwaltungsgericht, 2012-01-27, DE</w:t>
      </w:r>
    </w:p>
    <w:p>
      <w:r>
        <w:rPr>
          <w:b/>
        </w:rPr>
        <w:t xml:space="preserve">Quelle: </w:t>
      </w:r>
      <w:r>
        <w:t>https://mcp.opencaselaw.ch/entscheid/bvger_D-4070_2011</w:t>
      </w:r>
    </w:p>
    <w:p>
      <w:r>
        <w:t>FR: TAF D-4070/2011 du 27 janvier 2012</w:t>
      </w:r>
    </w:p>
    <w:p>
      <w:r>
        <w:t>IT: TAF D-4070/2011 del 27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Colombo am 17. Juni 2010 eine persönliche Befragung des Beschwerdeführers gemäss Art. 10 Abs. 1 AsylV 1 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In seiner Beschwerdebegründung macht der Beschwerdeführer im Wesentlichen geltend, einige Leute, die mit ihm in Sri Lanka sehr eng zusammengearbeitet hätten, seien in die Schweiz geflüchtet und hätten hier Asyl erhalten. Auch er suche einen Platz, an dem er friedlich leben und weiterhin für das Wohl der Menschen und des Klimas arbeiten könne, ohne um sein Leben fürchten zu müssen. Nun habe er sogar Angst davor, seinen Heimatstaat auf dem Luftweg zu verlassen oder innerhalb des Heimatstaats umzuziehen. Ausserdem erfahre er seitens seines Arbeitgebers zunehmend weniger Unterstützung. Trotzdem habe er sich dazu entschlossen, vorerst die Arbeit mit SETIK fortzusetzen, bis eine permanentere und sicherere Alternative gefunden sei. Obwohl die Unterdrückungen, denen er ausgesetzt sei, sich bisher nur in Form von Bedrohungen und Einschüchterungen manifestiert hätten, befürchte er, ernstere Formen der Unterdrückung könnten zum Zuge kommen, falls er noch länger in Sri Lanka bleibe, ohne Zuflucht zu irgendeinem effektiven Sicherheitsmechanismus zu haben.</w:t>
      </w:r>
    </w:p>
    <w:p>
      <w:r>
        <w:rPr>
          <w:b/>
        </w:rPr>
        <w:t>E. 5.2</w:t>
      </w:r>
    </w:p>
    <w:p>
      <w:r>
        <w:t>Diese Vorbringen in der Rechtsmitteleingabe vom 17. Juli 2011 sind indessen nicht geeignet, eine Änderung der vorinstanzlichen Verfügung zu bewirken. Der Argumentation des BFM werden keine stichhaltigen, überzeugenden und substanziierten Gründe entgegengesetzt; vielmehr beschränkt sich der Beschwerdeführer darauf, in seiner Eingabe den Sachverhalt zu wiederholen und durch weitere Tatsachenbehauptungen zu ergänzen. Die Ausführungen des Beschwerdeführers vermögen dementsprechend die substanziierten und nachvollziehbaren Erwägungen des BFM nicht umzustossen, dies umso weniger, als die geltend gemachte Furcht des Beschwerdeführers um sein Leben mangels objektiver Anhaltspunkte nicht nachvollziehbar erscheint und die geltend gemachte Bedrohung überzeichnet wirkt. Insbesondere ist nicht davon auszugehen, der Beschwerdeführer wäre seinen Aktivitäten zum Wohle der Menschen und des Klimas in der geschilderten Weise weiter nachgegangen, wenn er von einer akuten Bedrohung seines Lebens ausgegangen wäre. Des Weiteren sah der Beschwerdeführer davon ab, zur Abwehr der von ihm geltend gemachten Gefahren von seinen ausgezeichneten Beziehungen zu nationalen wie auch internationalen Organisationen Gebrauch zu machen, weshalb sich der Eindruck aufdrängt, er selbst schätze die ihm drohenden Gefahren anders ein als er sie im Beschwerdeverfahren darstellt. Für das Bundesverwaltungsgericht besteht somit nach Überprüfung der Akten keine Veranlassung, die Erwägungen des Bundesamtes zu beanstanden. Um Wiederholungen zu vermeiden, kann daher auf die zutreffenden Ausführungen in der angefochtenen Verfügung verwiesen werden.</w:t>
      </w:r>
    </w:p>
    <w:p>
      <w:r>
        <w:rPr>
          <w:b/>
        </w:rPr>
        <w:t>E. 5.3</w:t>
      </w:r>
    </w:p>
    <w:p>
      <w:r>
        <w:t>Angesichts dieser Sachlage erübrigt es sich, auf die weiteren Vorbringen in der Beschwerde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dessen Kosten grundsätzlich dem Beschwerdeführer aufzuerlegen (Art. 63 Abs. 1). Aus verwaltungsökonomischen Gründen sowie in Anwendung von Art. 63 Abs. 1 in fine VwVG sowie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