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D-406/2022 vom 2. Februar 2022</w:t>
      </w:r>
    </w:p>
    <w:p>
      <w:r>
        <w:t>Bundesverwaltungsgericht, 2022-02-02, IT</w:t>
      </w:r>
    </w:p>
    <w:p>
      <w:r>
        <w:rPr>
          <w:b/>
        </w:rPr>
        <w:t xml:space="preserve">Quelle: </w:t>
      </w:r>
      <w:r>
        <w:t>https://mcp.opencaselaw.ch/entscheid/bvger_D-406_2022</w:t>
      </w:r>
    </w:p>
    <w:p>
      <w:r>
        <w:t>FR: TAF D-406/2022 du 2 février 2022</w:t>
      </w:r>
    </w:p>
    <w:p>
      <w:r>
        <w:t>IT: TAF D-406/2022 del 2 febbraio 2022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750.–, sono poste a carico del ricorrente. Tale ammontare deve essere versato alla cassa del Tribunale amministra- 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canto- nale competente.</w:t>
      </w:r>
    </w:p>
    <w:p>
      <w:r>
        <w:t>Il giudice unico: La cancelliera:</w:t>
      </w:r>
    </w:p>
    <w:p>
      <w:r>
        <w:t>Daniele Cattaneo Francesca Bertini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