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D-406/2008 vom 14. April 2008</w:t>
      </w:r>
    </w:p>
    <w:p>
      <w:r>
        <w:t>Bundesverwaltungsgericht, 2008-04-14, DE</w:t>
      </w:r>
    </w:p>
    <w:p>
      <w:r>
        <w:rPr>
          <w:b/>
        </w:rPr>
        <w:t xml:space="preserve">Quelle: </w:t>
      </w:r>
      <w:r>
        <w:t>https://mcp.opencaselaw.ch/entscheid/bvger_D-406_2008</w:t>
      </w:r>
    </w:p>
    <w:p>
      <w:r>
        <w:t>FR: TAF D-406/2008 du 14 avril 2008</w:t>
      </w:r>
    </w:p>
    <w:p>
      <w:r>
        <w:t>IT: TAF D-406/2008 del 14 aprile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In der Beschwerde wird nicht explizit geltend gemacht, der Vollzug der Wegweisung sei unmöglich im Sinne von Art. 83 Abs. 3 AuG. Gegenstand des vorliegenden Beschwerdeverfahrens bildet somit - entsprechend den Rechtsbegehren in der Beschwerde - die Frage, ob die verfügte vorläufige Aufnahme vom BFM zu Recht als zulässig und zumutbar bezeichnet wurde.</w:t>
      </w:r>
    </w:p>
    <w:p>
      <w:r>
        <w:rPr>
          <w:b/>
        </w:rPr>
        <w:t>E. 4.2</w:t>
      </w:r>
    </w:p>
    <w:p>
      <w:r>
        <w:t>Der Grundsatz der Nichtrückschiebung schützt nur Personen, die die Flüchtlingseigenschaft erfüllen (vgl. Mario Gattiker, Das Asyl- und Wegweisungsverfahren, Bern 1999, S. 89).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4.3</w:t>
      </w:r>
    </w:p>
    <w:p>
      <w:r>
        <w:t>Sodann ergeben sich weder aus den Aussagen des Beschwerdeführers noch aus den Akten Anhaltspunkte dafür, dass er für den Fall einer Ausschaffung in den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was ihm nicht gelungen ist. Auch die allgemeine Sicherheitslage und Menschenrechtssituation im Irak lässt den Wegweisungsvollzug zum heutigen Zeitpunkt nicht als unzulässig erscheinen (vgl. BVGE E-6982/2006 vom 22. Januar 2008 E. 6.2 ff. und 6.6). 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4.4.1</w:t>
      </w:r>
    </w:p>
    <w:p>
      <w:r>
        <w:t>In der angefochtenen Verfügung hielt die Vorinstanz im Wesentlichen fest, in den drei nordirakischen Provinzen Dohuk, Erbil und Sulaymaniya herrsche keine Situation allgemeiner Gewalt. Der Wegweisungsvollzug sei somit grundsätzlich zumutbar. Dies gelte besonders für aus diesen Provinzen stammende Männer, welche sich alleine in der Schweiz aufhielten. Vorliegend handle es sich um einen alleinstehenden, jungen und gesunden Mann, der die überwiegende Zeit seines Lebens in der Provinz Sulaymaniya verbracht habe und über Berufserfahrung verfüge. Daraus sei zu schliessen, dass er in der Lage sei, die Sicherung seiner Existenz selbständig an die Hand zu nehmen. Aus den Angaben des Beschwerdeführers sei sodann anzunehmen, dass er im Irak über ein soziales Beziehungsnetz verfüge, welches ihn in der Anfangsphase nach seiner Rückkehr unterstützen könne. Die geltend gemachte Verfolgung durch Islamisten sei schliesslich im Rahmen des Asylverfahrens als unglaubhaft erachtet worden. Dass eine seiner Schwestern durch Islamisten in Sulaymaniya getötet worden sei, müsse als nachgeschoben und nicht besonders glaubhaft taxiert werden.</w:t>
      </w:r>
    </w:p>
    <w:p>
      <w:r>
        <w:rPr>
          <w:b/>
        </w:rPr>
        <w:t>E. 4.5</w:t>
      </w:r>
    </w:p>
    <w:p>
      <w:r>
        <w:t>Das Bundesverwaltungsgericht ist im zur Publikation vorgesehenen Urteil E-4243/2007 vom 14. März 2008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4.6</w:t>
      </w:r>
    </w:p>
    <w:p>
      <w:r>
        <w:t>Der Beschwerdeführer, welcher keine gesundheitlichen Beeinträchtigungen geltend macht, stammt aus der Provinz Sulaymaniya, wo er seit seiner Geburt bis zur Ausreise gelebt hat. Zudem besuchte er eigenen Angaben zufolge während Jahren die Schule und übte verschiedene Erwerbstätigkeiten in seiner Heimat sowie in der Schweiz aus. Angesichts dessen und des jungen Alters des Beschwerdeführers ist davon auszugehen, dass er sich in seiner Heimat in den Arbeitsmarkt wird integrieren können. Es ist zudem - mit Verweis auf die entsprechenden Erwägungen der Vorinstanz - zu schliessen, dass der Beschwerdeführer bei einer Rückkehr in die Provinz Sulaymaniya mit Eltern und Geschwistern ein familiäres Beziehungsnetz vorfinden wird, welches ihm bei einer Wiedereingliederung, nicht zuletzt aufgrund der Tatsache, dass es der Familie des Beschwerdeführers finanziell gut gehe (vgl. A1, S. 5), behilflich sein kann. Die Rückkehrhilfe der Schweiz wird ihm den Wiedereinstieg in seiner Heimat ebenfalls erleichtern können. Schliesslich sind keine weiteren individuellen Gründe ersichtlich, aufgrund derer allenfalls geschlossen werden könnte, der Beschwerdeführer gerate im Falle der Rückkehr in die Heimat in eine existenzbedrohende Situation, weshalb der Vollzug der Wegweisung - übereinstimmend mit dem BFM - als zumutbar zu bezeichnen ist. Die Ausführungen in der Beschwerde vermögen an dieser Einschätzung nichts zu ändern, zumal darin im Wesentlichen Berichte der Schweizerischen Flüchtlingshilfe, anderer Organisationen sowie ein Bericht der NZZ zitiert und die Vorbringen wiederholt werden. Ebensowenig sind der mit der Beschwerde eingereichte Todesschein der Schwester sowie das Urteil des UK Asylum and Immigration Tribunal (UK AIT) vom September 2007 geeignet, einen anderen Entscheid zu bewirken, zumal sich daraus kein direkter Zusammenhang zum Beschwerdeführer und einer allfälligen individuellen Gefährdungslage ersehen lässt.</w:t>
      </w:r>
    </w:p>
    <w:p>
      <w:r>
        <w:rPr>
          <w:b/>
        </w:rPr>
        <w:t>E. 4.7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5</w:t>
      </w:r>
    </w:p>
    <w:p>
      <w:r>
        <w:t>Bei diesem Ausgang des Verfahrens sind die Kosten dem Beschwerdeführer aufzuerlegen (Art. 63 Abs. 1 und 5 VwVG), auf insgesamt Fr. 600.-- festzusetzen (Art. 1-3 des Reglements vom 11. Dezember 2006 über die Kosten und Entschädigungen vor dem Bundesverwaltungsgericht [VGKE, SR 173.320.2]) und mit dem am 8. Februar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