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D-4067/2007 vom 6. April 2010</w:t>
      </w:r>
    </w:p>
    <w:p>
      <w:r>
        <w:t>Bundesverwaltungsgericht, 2010-04-06, DE</w:t>
      </w:r>
    </w:p>
    <w:p>
      <w:r>
        <w:rPr>
          <w:b/>
        </w:rPr>
        <w:t xml:space="preserve">Quelle: </w:t>
      </w:r>
      <w:r>
        <w:t>https://mcp.opencaselaw.ch/entscheid/bvger_D-4067_2007</w:t>
      </w:r>
    </w:p>
    <w:p>
      <w:r>
        <w:t>FR: TAF D-4067/2007 du 6 avril 2010</w:t>
      </w:r>
    </w:p>
    <w:p>
      <w:r>
        <w:t>IT: TAF D-4067/2007 del 6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mit der Begründung ab, die Vorbringen des Beschwerdeführers würden den Anforderungen an die Glaubhaftigkeit gemäss Art. 7 AsylG nicht standhalten.</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4.4</w:t>
      </w:r>
    </w:p>
    <w:p>
      <w:r>
        <w:t>Nach Prüfung der Akten durch das Gericht ist in Übereinstimmung mit der Vorinstanz festzustellen, dass sich der Beschwerdeführer im Laufe seiner zwei Asylverfahren in wesentlichen Punkten zum Teil erheblich widersprochen hat. So erklärte er beispielsweise anlässlich der Befragung vom 24. Januar 2003 beziehungsweise der Anhörung vom 24. Februar 2003 im Rahmen seines ersten Asylgesuchs, wegen der Unterstützung der PKK fünf Tage lang im Gefängnis gewesen zu sein (act. A 1/8, S. 4, A 8/13, S. 6), hingegen machte er bei der Befragung vom 15. Juni 2006 geltend, noch nie festgenommen worden zu sein (act. B 1/10, S. 6) beziehungsweise während zwei bis drei Stunden festgehalten worden zu sein (act. B 11/13, S. 9 f.), obwohl er nach Einreichung seines zweiten Asylgesuchs aussagte, die gleichen Gründe wie beim ersten Asylgesuch geltend zu machen (act. B 1/10, S. 5). Zudem sagte der Beschwerdeführer anlässlich der kantonalen Anhörung vom 24. Februar 2003 aus, er habe den PKK-Leuten insgesamt etwa zehn Mal Lebensmittel gebracht (act. A 8/13, S. 8), demgegenüber brachte er bei der Befragung vom 15. Juni 2006 vor, dies etwa drei bis vier Mal getan zu haben (act. B 1/10, S. 5). Überdies äusserte sich der Beschwerdeführer auch zum Aufenthaltsort seiner Identitätskarte widersprüchlich. So sagte er anlässlich der Anhörung vom 24. Februar 2003 aus, diese sei zu Hause bei seinen Eltern, da der Schlepper sie ihnen nach seiner Flucht übergeben habe (act. A 8/13, S. 3), demgegenüber machte er bei der Anhörung vom 27. Juli 2006 geltend, der Schlepper habe seine Identitätskarte verloren (act. B 11/13, S. 4). Nach dem Gesagten ist davon auszugehen, dass es sich bei der behaupteten Verfolgung durch die Sicherheitsbehörden der PDK lediglich um ein Konstrukt handelt. Gegen die Glaubhaftigkeit der Vorbringen spricht ausserdem der Umstand, dass die Aussagen des Beschwerdeführers bezüglich seiner Verfolgung durch die Sicherheitsbehörden der PDK wenig detailliert und unsubstanziiert ausgefallen sind (vgl. beispielsweise act. B 1/10, S. 5, B 11/13, 8 ff.). Den diesbezüglichen Vorbringen des Beschwerdeführers fehlen die erforderlichen Realkennzeichen einer Erzählung. Namentlich ist den Äusserungen weder persönliche Betroffenheit noch der erforderliche Detailreichtum einer auf tatsächlich erlebten Ereignissen basierenden Schilderung zu entnehmen. Erhebliche Zweifel an der Glaubwürdigkeit des Beschwerdeführers begründet auch der Umstand, das er gemäss eigenen Angaben in der Rechtsmittelschrift vom 13. Juni 2007 sowohl im ersten als auch im zweiten Asylverfahren falsche Angaben hinsichtlich seiner Identität beziehungsweise seines Geburtsdatums gemacht hat. Ein plausibler Grund für dieses Vorgehen vermag der Beschwerdeführer nicht vorzubringen. Die Behauptung in der Rechtsmittelschrift, wonach er aus politischen Gründen unterschiedliche Namen beziehungsweise Geburtsdaten angegeben habe, überzeugt das Gericht nicht, zumal er anlässlich der Befragungen ausdrücklich auf die Verschwiegenheitspflicht der schweizerischen Asylbehörden aufmerksam gemacht worden ist. An der fehlenden Glaubwürdigkeit des Beschwerdeführers ändert auch der Umstand nichts, dass er zum Beweis seiner in der Rechtsmittelschrift angegebenen Identität einen irakischen Nationalitätenausweis sowie eine irakische Identitätskarte eingereicht hat. Das Gericht gelangt daher nach Prüfung des rechtserheblichen Sachverhalts zur Erkenntnis, dass die vom Beschwerdeführer zur Begründung seines Asylgesuchs geltend gemachten Vorbringen den umschriebenen Anforderungen an die Glaubhaftmachung nicht genügen, und das BFM die behaupteten Asylgründe zu Recht und mit zutreffender Begründung als unglaubhaft beurteilt hat. Der Beschwerdeführer erfüllt somit die Voraussetzungen zur Zuerkennung der Flüchtlingseigenschaft nicht, weshalb die Vorinstanz das Asylbegehren zu Recht abgelehnt hat. Es erübrigt sich deshalb, auf die weiteren Vorbringen in der Rechtsmitteleingabe beziehungsweise der Stellungnahme vom 4. September 2007 näher einzugehen, da sie nicht zu einer anderen Betrachtungsweise führen.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Irak lässt den Wegweisungsvollzug zum heutigen Zeitpunkt nicht als unzulässig erscheinen (vgl. BVGE 2008/4 E. 6.2 ff.).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Bezug auf die allgemeine Lage in den drei nordirakischen Provinzen kann auf die vom Bundesverwaltungsgericht vorgenommene Einschätzung der Lage in einem ergangenen Grundsatzurteil verwiesen werden (vgl. BVGE 2008/5), welche auch zum heutigen Zeitpunkt noch Gültigkeit hat. Das Gericht stellt dort zusammenfassend fest, dass in den drei kurdischen Provinzen Dohuk, Sulaymaniya und Erbil keine Situation allgemeiner Gewalt herrscht und die dortige politische Lage nicht dermassen angespannt ist,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Für allgemein zumutbar erachtet es grundsätzlich die Rückkehr von Personen, die ursprünglich aus der Region stammen oder längere Zeit dort gelebt haben und über ein soziales Netz (Familie, Verwandtschaft oder Bekanntenkreis) oder über Beziehungen zu den herrschenden Parteien verfügen. Für alleinstehende Frauen und für Familien mit Kindern, sowie für Kranke und Betagte ist bei der Feststellung der Zumutbarkeit des Wegweisungsvollzugs jedoch grosse Zurückhaltung angebracht (vgl. a.a.O. E. 7.5 und insbesondere 7.5.8). Zu prüfen bleibt, ob persönliche Gründe des Beschwerdeführers den Wegweisungsvollzug als nicht zumutbar erscheinen lassen.</w:t>
      </w:r>
    </w:p>
    <w:p>
      <w:r>
        <w:rPr>
          <w:b/>
        </w:rPr>
        <w:t>E. 6.3.3</w:t>
      </w:r>
    </w:p>
    <w:p>
      <w:r>
        <w:t>Aus den Akten ergeben sich keine Anhaltspunkte, die darauf schliessen liessen, der alleinstehende, heute zirka 23-jährige und - soweit aktenkundig - gesunde Beschwerdeführer gerate im Falle der Rückkehr in seine Heimat aus individuellen Gründen wirtschaftlicher, sozialer oder gesundheitlicher Natur in eine existenzbedrohende Situation. Gemäss eigenen Angaben verfügt er zwar über keine Schulbildung, er hat jedoch vor seiner Ausreise als Hirte und in einem Geschäft gearbeitet. Aufgrund dieser Arbeitserfahrung ist davon auszugehen, dass er in der Lage sein wird, sich in seiner Heimat eine wirtschaftliche Existenzgrundlage zu erarbeiten. Dies umso mehr, als er auf die Hilfe seiner dort ansässigen Eltern sowie Geschwister zurückgreifen kann. Zudem ist davon auszugehen, dass noch weitere Verwandte und Freunde in der Provinz Dohuk wohnen, die den Beschwerdeführer in der ersten Phase der Rückkehr unterstützen werden. Der Vollzug der Wegweisung erweist sich mithin nicht als unzumutbar im Sinne von Art. 83 Abs. 4 AuG.</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