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D-4065/2014 vom 12. September 2014</w:t>
      </w:r>
    </w:p>
    <w:p>
      <w:r>
        <w:t>Bundesverwaltungsgericht, 2014-09-12, FR</w:t>
      </w:r>
    </w:p>
    <w:p>
      <w:r>
        <w:rPr>
          <w:b/>
        </w:rPr>
        <w:t xml:space="preserve">Quelle: </w:t>
      </w:r>
      <w:r>
        <w:t>https://mcp.opencaselaw.ch/entscheid/bvger_D-4065_2014</w:t>
      </w:r>
    </w:p>
    <w:p>
      <w:r>
        <w:t>FR: TAF D-4065/2014 du 12 septembre 2014</w:t>
      </w:r>
    </w:p>
    <w:p>
      <w:r>
        <w:t>IT: TAF D-4065/2014 del 12 settembre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A._______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récit du recourant, émaillé d'incohérences, apparaît manifestement invraisemblable. Tout d'abord, il n'est pas logique que les autorités érythréennes aient menacé de l'enrôler dans l'armée alors même qu'il était au bénéfice d'une dispense émanant d'un médecin actif dans le cadre militaire (cf. le procès-verbal [ci-après : pv] de l'audition du 8 octobre 2013, p. 5). Ensuite, déjà peu circonstanciées, évasives et d'ordre très général, les affirmations du recourant concernant les cinq à six années qu'il aurait passées en prison et sa fuite, sont, elles aussi, peu crédibles. L'on ne comprend en particulier pas pourquoi il n'a pas, dans le contexte particulier de l'emprisonnement allégué, qui plus est étendu sur une relativement longue période, fait référence à des événements en rapport avec sont état de santé, alors qu'il affirme avoir encore souffert des séquelles de la tuberculose malgré un traitement quotidien de la maladie deux ans durant, au début des années (...), et reçu en (...) un certificat médical à teneur duquel il nécessitait alors toujours de soins du fait de ces mêmes séquelles (cf. pv de l'audition du 8 octobre 2013, p. 4 et 5). De même, le récit stéréotypé de son évasion et de la marche de 30 km, dans la chaleur de l'après-midi, qui s'en est suivie ne correspond pas à des événements réellement vécus. Enfin, l'ODM a, à juste titre, mis en doute l'authenticité du certificat de naissance du recourant, prétendument établi à Asmara en (...). Il semble en effet contraire à la logique de se faire délivrer, à Asmara, capitale de l'Érythrée, un certificat de naissance dont il ressort que le titulaire est né à Addis Abeba, capitale de l'Éthiopie. L'explication du recourant, selon laquelle il aurait été "difficile, voire impossible, pour les ressortissants érythréens établi en Ethiopie", d'obtenir une pièce d'identité ne convainc pas. Par ailleurs, le recourant a déclaré avoir obtenu sa carte d'identité en (...) à C._______, ville d'Érythrée, expliquant qu'il faisait régulièrement les voyages entre B._______ et C._______, avec son père, avant leur déportation en (...) (cf. pv de l'audition du 3 juin 2014, p. 5). Cette explication, déjà peu convaincante en soi, n'explique toutefois pas pourquoi il aurait fait, une année après, un détour à Asmara alors qu'il aurait pu obtenir ce certificat de naissance à C._______, où il s'était déjà fait délivrer sa carte d'identité.</w:t>
      </w:r>
    </w:p>
    <w:p>
      <w:r>
        <w:rPr>
          <w:b/>
        </w:rPr>
        <w:t>E. 3.2</w:t>
      </w:r>
    </w:p>
    <w:p>
      <w:r>
        <w:t>Si les contradictions de la déportation alléguée, qui aurait eu lieu courant (...), ne sont pas aussi flagrantes que ce que soutient l'ODM, du fait du temps écoulé depuis, l'on ne saurait pour autant admettre la vraisemblance de cet événement. Les illogismes et autres incohérences mentionnées ci-dessus au considérant 3.1 conduisent à admettre que le recourant n'a pas subi les préjudices allégués en Erythrée, mais qu'il a vécu la majeur partie de sa vie à B._______, avant de prendre le chemin de l'exil.</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en règle générale être prononcée. Celle-ci est régie par les art. 83 et 84 LEtr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Comme exposé plus haut, le recourant n'a pas rendu vraisemblable qu'en cas de retour en Ethiopie,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En l'occurrence, le recourant n'a pas rendu hautement probable qu'il serait personnellement visé, en cas de retour en Ethiopie, par des mesures incompatibles avec l'art. 3 CEDH ou d'autres dispositions contraignantes de droit international en raison des nombreuses divergences, invraisemblances et contradictions émaillant ses déclarations.</w:t>
      </w:r>
    </w:p>
    <w:p>
      <w:r>
        <w:rPr>
          <w:b/>
        </w:rPr>
        <w:t>E. 5.4</w:t>
      </w:r>
    </w:p>
    <w:p>
      <w:r>
        <w:t>Dès lors, l'exécution du renvoi du recourant sous forme de refoulement ne transgresse aucun engagement de la Suisse relevant du droit international, de sorte qu'elle s'avère licite (art. 44 LAsi et 83 al. 3 LEtr).</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w:t>
      </w:r>
    </w:p>
    <w:p>
      <w:r>
        <w:t>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6.2</w:t>
      </w:r>
    </w:p>
    <w:p>
      <w:r>
        <w:t>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De jurisprudence constante, l'exécution du renvoi vers l'Ethiopie est en principe considérée comme raisonnablement exigible (cf. arrêt du Tribunal D-6213/2008 du 23 avril 2012 consid. 5.1). Par ailleurs, si l'Éthiopie a procédé à des déportations de ressortissants d'ascendance érythréenne entre 1998 et 2002 (cf. notamment JICRA 2005 n° 12 consid. 7.1 p. 106 ss), celles-ci ont fortement diminué après la conclusion de l'accord de paix signé entre ces deux pays à Alger le 12 décembre 2000. Plus aucune expulsion vers l'Érythrée n'est intervenue par la suite, les seuls rapatriements s'effectuant sur une base volontaire (cf. en particulier le rapport de Comité international de la Croix-Rouge, "Ethiopia : together again" du 12 septembre 2008). En outre, il ne ressort du dossier aucun élément dont on pourrait inférer que l'exécution du renvoi impliquerait une mise en danger concrète du recourant. Enfin, le recourant est jeune et au bénéfice d'un réseau familial et social, sur lequel il pourra compter à son retour.</w:t>
      </w:r>
    </w:p>
    <w:p>
      <w:r>
        <w:rPr>
          <w:b/>
        </w:rPr>
        <w:t>E. 6.3</w:t>
      </w:r>
    </w:p>
    <w:p>
      <w:r>
        <w:t>Pour ces motifs, l'exécution du renvoi doit être considérée comme raisonnablement exigible.</w:t>
      </w:r>
    </w:p>
    <w:p>
      <w:r>
        <w:rPr>
          <w:b/>
        </w:rPr>
        <w:t>E. 7</w:t>
      </w:r>
    </w:p>
    <w:p>
      <w:r>
        <w:t>Sous l'angle de l'art. 83 al. 2 LEtr, le recourant est tenu d'entreprendre toutes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w:t>
      </w:r>
    </w:p>
    <w:p>
      <w:r>
        <w:rPr>
          <w:b/>
        </w:rPr>
        <w:t>E. 8</w:t>
      </w:r>
    </w:p>
    <w:p>
      <w:r>
        <w:t>Il s'ensuit que le recours, en tant qu'il conteste la décision de renvoi et son exécution, doit être également rejeté.</w:t>
      </w:r>
    </w:p>
    <w:p>
      <w:r>
        <w:rPr>
          <w:b/>
        </w:rPr>
        <w:t>E. 9.1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Avec ce prononcé, la demande d'assistance judiciaire partielle devient sans objet.</w:t>
      </w:r>
    </w:p>
    <w:p>
      <w:r>
        <w:rPr>
          <w:b/>
        </w:rPr>
        <w:t>E. 9.3</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