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D-4062/2020 vom 10. Februar 2021</w:t>
      </w:r>
    </w:p>
    <w:p>
      <w:r>
        <w:t>Bundesverwaltungsgericht, 2021-02-10, DE</w:t>
      </w:r>
    </w:p>
    <w:p>
      <w:r>
        <w:rPr>
          <w:b/>
        </w:rPr>
        <w:t xml:space="preserve">Quelle: </w:t>
      </w:r>
      <w:r>
        <w:t>https://mcp.opencaselaw.ch/entscheid/bvger_D-4062_2020</w:t>
      </w:r>
    </w:p>
    <w:p>
      <w:r>
        <w:t>FR: TAF D-4062/2020 du 10 février 2021</w:t>
      </w:r>
    </w:p>
    <w:p>
      <w:r>
        <w:t>IT: TAF D-4062/2020 del 10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ist die formelle Rüge des Beschwerdeführers, das SEM habe den Sachverhalt unvollständig abgeklärt und damit sein rechtliches Gehör verletzt, zu prüfen.</w:t>
      </w:r>
    </w:p>
    <w:p>
      <w:r>
        <w:rPr>
          <w:b/>
        </w:rPr>
        <w:t>E. 3.2</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Betroffenen tatsächlich zu hören, sorgfältig und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Der Untersuchungsgrundsatz gilt nicht uneingeschränkt, sondern findet sein Korrelat in der Mitwirkungspflicht der asylsuchenden Person.</w:t>
      </w:r>
    </w:p>
    <w:p>
      <w:r>
        <w:rPr>
          <w:b/>
        </w:rPr>
        <w:t>E. 3.3</w:t>
      </w:r>
    </w:p>
    <w:p>
      <w:r>
        <w:t>Der Beschwerdeführer monierte, die Anhörung sei ihm zu schnell gegangen, er hätte ausführlicher befragt werden müssen. Auch sei er damals aus psychischen Gründen nicht in der Lage gewesen, über all seine Probleme zu sprechen. Des Weiteren habe er vor den anwesenden Frauen nicht offen über seine sexuelle Ausrichtung sprechen können.</w:t>
      </w:r>
    </w:p>
    <w:p>
      <w:r>
        <w:rPr>
          <w:b/>
        </w:rPr>
        <w:t>E. 3.3.1</w:t>
      </w:r>
    </w:p>
    <w:p>
      <w:r>
        <w:t>Die Rüge, das SEM habe den Untersuchungsgrundsatz verletzt, indem der Beschwerdeführer nicht ausführlich genug befragt worden sei, findet in den Akten keine Stütze. Das SEM hat dem Beschwerdeführer im Rahmen der Anhörung vom 26. Juni 2020 umfassend Gelegenheit eingeräumt, seine Asylgründe vorzubringen. Die gesuchstellende Person trägt die Substanziierungslast und aus dem Anhörungsprotokoll ergeben sich keine Anhaltspunkte für die Annahme, die Befragungsleitung hätte dem Beschwerdeführer nicht genügend Raum gegeben, sich zu äussern. Im Befragungsprotokoll finden sich auch keine Anhaltspunkte für die Annahme, der Beschwerdeführer wäre aufgrund seiner damaligen psychischen Verfassung nicht in der Lage gewesen, die Fluchtgründe sowie die Gründe, die aus seiner Sicht gegen eine heutige Rückkehr nach Marokko sprechen würden, darzulegen. Zwar gab er zu Beginn der Anhörung an, er sei psychisch angeschlagen (vgl. vorinstanzliche Akte 1053455-A45 S. 2 F5), aber konkrete Hinweise, dass er aufgrund seines Befindens nicht einnahmefähig gewesen wäre, lassen sich der ausführlichen Befragung zu seinem Gesundheitszustand nicht entnehmen (vgl. A45 S. 12 f. F85-101).</w:t>
      </w:r>
    </w:p>
    <w:p>
      <w:r>
        <w:rPr>
          <w:b/>
        </w:rPr>
        <w:t>E. 3.3.2</w:t>
      </w:r>
    </w:p>
    <w:p>
      <w:r>
        <w:t>Dem Anhörungsprotokoll sind auch keine Anhaltspunkte für die Annahme zu entnehmen, das Geschlecht der Mitwirkenden hätte einen Einfluss auf das Aussageverhalten des Beschwerdeführers gehabt. Gemäss Art. 17 Abs. 2 AsylG in Verbindung mit Art. 6 AsylV 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(vgl. hierzu BVGE 2015/42 E. 5.2). Das Geschlecht soll auch bei der Auswahl der weiteren anwesenden Personen berücksichtigt werden. Art. 6 AsylV 1 ist eine Ausgestaltung des rechtlichen Gehörs, mithin eine Schutzvorschrift, deren Zweck es ist, dass asylsuchende Personen ihre Vorbringen angemessen vortragen, das heisst,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respektive im Rahmen eines gleichgeschlechtlichen Teams kann nur dann angenommen werden, wenn er ausdrücklich erklärt wird (vgl. BVGE 2015/42; vgl. auch etwa Urteil des BVGer D-6857/2016 vom 15. Februar 2018 E. 4.1 m.w.H.). Aus den vorliegenden Verfahrensakten geht hervor, dass der Beschwerdeführer bei der Anhörung, in deren Rahmen er Vergewaltigungen im Kindesalter vorbrachte, gefragt wurde, ob er sich ausschliesslich in Gegenwart von Männern äussern möchte. Er verneinte dies respektive erklärte sich mit der Fortsetzung der Befragung in Anwesenheit von Personen des andern Geschlechts ausdrücklich einverstanden (vgl. A45 S. 12 F83-84). Es bestand somit für das SEM keine Veranlassung zum Abbruch der Anhörung und zur Durchführung einer erneuten Anhörung in einem reinen Männerteam.</w:t>
      </w:r>
    </w:p>
    <w:p>
      <w:r>
        <w:rPr>
          <w:b/>
        </w:rPr>
        <w:t>E. 3.3.3</w:t>
      </w:r>
    </w:p>
    <w:p>
      <w:r>
        <w:t>Die Anhörung vom 26. Juni 2020 ist aufgrund des Gesagten nicht zu beanstanden. Sie ist mit der notwendigen Ausführlichkeit ausgefallen. Der Beschwerdeführer hatte ausreichend Gelegenheit, sich zu seinen Asylgründen frei zu äussern und es wurden ihm seitens der Befragungsleitung zahlreiche spezifische Nachfragen gestellt, auf die er Auskunft geben konnte. Das SEM fragte abschliessend mehrmals nach, ob der Beschwerdeführer alle Probleme, die ihn zur Flucht bewogen hätten und alle Gründe, die seines Erachtens gegen eine heutige Rückkehr nach Marokko sprechen würden, habe vorbringen können, was dieser bejahte (vgl. A45 S. 14f. F103-105). Der Beschwerdeführer vermengt die Feststellung des rechtserheblichen Sachverhalts mit der materiellen Würdigung der Sache. Das SEM hielt in der angefochtenen Verfügung alle wesentlichen Sachverhalts- elemente - soweit es ihm möglich war - fest und würdigte die Ausführungen des Beschwerdeführers. Hinsichtlich der erst auf Beschwerdeebene vorgebrachten Homosexualität und Zugehörigkeit des Beschwerdeführers zur (...) kann dem SEM kein Vorwurf einer unvollständigen Sachverhaltsabklärung gemacht werden. Es wäre aufgrund der Mitwirkungspflicht nach Art. 8 AsylG Sache des Beschwerdeführers gewesen, dies darzulegen. Das SEM erachtete im Zeitpunkt des Erlasses der Verfügung den damals bekannten Sachverhalt als rechtsgenüglich erstellt. Diese Einschätzung ist nicht zu beanstanden. Die Würdigung bildet nunmehr Gegenstand des Beschwerdeverfahrens.</w:t>
      </w:r>
    </w:p>
    <w:p>
      <w:r>
        <w:rPr>
          <w:b/>
        </w:rPr>
        <w:t>E. 3.4</w:t>
      </w:r>
    </w:p>
    <w:p>
      <w:r>
        <w:t>Aufgrund des Gesagten besteht keine Veranlassung, die angefochtene Verfügung aus formellen Gründen aufzuheben und die Sache an die Vorinstanz zurückzuweisen. Der entsprechende (Eventual-)Antrag um Rückweisung an das SEM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5.1</w:t>
      </w:r>
    </w:p>
    <w:p>
      <w:r>
        <w:t>Das Bundesverwaltungsgericht gelangt nach Prüfung der Akten in Übereinstimmung mit der Vorinstanz zum Schluss, dass der Beschwerdeführer die Flüchtlingseigenschaft gemäss Art. 3 AsylG nicht zu begründen vermag.</w:t>
      </w:r>
    </w:p>
    <w:p>
      <w:r>
        <w:rPr>
          <w:b/>
        </w:rPr>
        <w:t>E. 5.2</w:t>
      </w:r>
    </w:p>
    <w:p>
      <w:r>
        <w:t>Die vom Beschwerdeführer vorgebrachten drei Vergewaltigungen im Kleinkindalter seitens eines damaligen Nachbarn respektive von damals in der Nähe seines Wohnorts stationierten Soldaten vermögen infolge fehlenden zeitlichen und sachlichen Kausalzusammenhangs zur erst im Jahr 1990/1991 erfolgten Ausreise des Beschwerdeführers aus Marokko keine asylrechtliche Relevanz zu entfalten. Zudem dient das Asyl, wie zuvor ausgeführt (vgl. E. 4.1), nicht dem Ausgleich für vergangenes Unrecht, sondern der Gewährung von Schutz vor künftiger Verfolgung (vgl. BVGE 2008/4 E. 5.4). Auch in Bezug auf die Teilnahme des Beschwerdeführers an einer Demonstration gegen die Erhöhung des Brotpreises im Jahr 1980 oder 1981 fehlt es am notwendigen zeitlichen Kausalzusammenhang zur erst zehn Jahre später erfolgten Ausreise aus Marokko. Im Übrigen sei der Beschwerdeführer deswegen persönlich nicht im Visier der Behörden gestanden und nicht wie andere Teilnehmer im Nachgang der besagten Kundgebung verfolgt worden. Die in der Rechtsmitteleingabe vom 13. August 2020 angetönte Teilnahme an weiteren Demonstrationen steht in klarem Widerspruch zu den Angaben des Beschwerdeführers bei der Anhörung vom 26. Juni 2020, wonach es nebst der Kundgebung von 1980/1981 keine anderen politischen Aktivitäten seinerseits gegeben habe. In der Replik vom 23. September 2020 nahm er die Aussage in der Beschwerde denn auch zurück und erklärte, es habe zwar noch weitere Demonstrationen gegeben, er habe aber nicht (mehr) daran teilgenommen, sei persönlich nie Opfer von Verfolgungshandlungen geworden und habe im Zeitpunkt der Ausreise aus Marokko keine Probleme mit den heimatlichen Behörden gehabt. Entgegen der vom Beschwerdeführer geäusserten Befürchtung lassen sich den Akten denn auch keine konkreten Anhaltspunkte für die Annahme entnehmen, er hätte bei einer heutigen Rückkehr wegen der einmaligen Teilnahme an einer Demonstration im Kindesalter Verfolgungsmassnahmen flüchtlingsrechtlicher Intensität im Sinne von Art. 3 AsylG seitens der heimatlichen Behörden zu befürchten. Der Verweis auf einen Aktivisten, der in Marokko zu einer Haftstrafe verurteilt worden sei, vermag an dieser Einschätzung nichts zu ändern. Der Beschwerdeführer, der die Substanziierungslast für seine Vorbringen trägt, hat keine konkreten Aktivitäten dargelegt, aufgrund derer er heutzutage in den Augen der heimatlichen Behörden als unliebsamer Politaktivist wahrgenommen werden könnte.</w:t>
      </w:r>
    </w:p>
    <w:p>
      <w:r>
        <w:rPr>
          <w:b/>
        </w:rPr>
        <w:t>E. 5.3</w:t>
      </w:r>
    </w:p>
    <w:p>
      <w:r>
        <w:t>Soweit der Beschwerdeführer vorbrachte, ethnische Berber würden in Marokko generell diskriminiert, ist festzustellen, dass die Zugehörigkeit zu den Berbern für sich allein keinen Asylgrund im Sinne von Art. 3 AsylG darzustellen vermag. Gezielt gegen ihn gerichtete, flüchtlingsrechtlich relevante Verfolgungsmassnahmen im Sinne von Art. 3 AsylG hat der Beschwerdeführer in diesem Zusammenhang nicht vorgebracht. Im Übrigen ist beispielsweise die Sprache Tamazight (Berberisch) seit einer Verfassungsänderung im Jahr 2011 wie Arabisch offizielle Amtssprache Marokkos.</w:t>
      </w:r>
    </w:p>
    <w:p>
      <w:r>
        <w:rPr>
          <w:b/>
        </w:rPr>
        <w:t>E. 5.4</w:t>
      </w:r>
    </w:p>
    <w:p>
      <w:r>
        <w:t>Die vorgebrachten ökonomischen Schwierigkeiten des Beschwerdeführers vermögen ebenfalls keine Asylrelevanz im Sinne von Art. 3 AsylG zu entfalten.</w:t>
      </w:r>
    </w:p>
    <w:p>
      <w:r>
        <w:rPr>
          <w:b/>
        </w:rPr>
        <w:t>E. 5.5</w:t>
      </w:r>
    </w:p>
    <w:p>
      <w:r>
        <w:t>In Bezug auf die vom Beschwerdeführer erst auf Beschwerdeebene vorgebrachte Befürchtung, wegen Homosexualität oder der Zugehörigkeit zur (...) von den heimatlichen Behörden verfolgt zu werden, ist darauf hinzuweisen, dass Asylsuchende verpflichtet sind, an der Feststellung des Sachverhalts mitzuwirken (Art. 8 AsylG), und klare asylrelevante Aussagen, die von späteren Aussagen diametral abweichen oder bestimmte Ereignisse oder Befürchtungen, die nicht ansatzweise erwähnt werden, Widersprüche sind, die im Rahmen der Beweiswürdigung zu berücksichtigen sind (vgl. Entscheidungen und Mitteilungen der [vormaligen] Schweizerischen Asylrekurskommission [EMARK] 1993/3 E. 3 S. 13). Die besagten, vom Beschwerdeführer erst in der Beschwerde vorgetragenen Befürchtungen, die er im vorinstanzlichen Verfahren mit keinem Wort erwähnt hatte, müssen als nachgeschoben und damit unglaubhaft bezeichnet werden. Der Beschwerdeführer wurde zu Beginn der Anhörung vom 26. Juni 2020 ausdrücklich auf seine Mitwirkungspflicht hingewiesen (vgl. A45 S. 2) und er bestätigte am Ende der Befragung, keine weiteren, nicht erwähnten Gründe zu haben, die gegen die Rückkehr in seinen Heimatstaat sprechen würden (vgl. A45 S. 14 f. F103-105). Auch wurde er explizit gefragt, ob er das Geschlecht betreffend eine andere Zusammensetzung des Befragungsteams wünsche, was er verneinte (vgl. A45 S. 12 F83-84). Es ist daher auch nicht verständlich respektive mit Schamgefühlen erklärbar, dass er die Homosexualität mit keinem Wort erwähnte, war er doch demgegenüber in der Lage, über den sexuellen Missbrauch zu berichten. Im Übrigen ist in Marokko grundsätzlich nicht mit asylrelevanter Verfolgung aufgrund des Bekanntwerdens einer homosexuellen Orientierung zu rechnen und auch der soziale Druck, welchem homosexuelle Personen dort unter Umständen ausgesetzt sind, vermag grundsätzlich nicht die von Art. 3 Abs. 2 AsylG geforderte Intensität zu erreichen (vgl. die Urteile des BVGer E-2647/2020 vom 2. September 2020 E. 7.3, D-5585/2017 vom 19. September 2019 E. 7.3 und 8.2.2, D-3969/2018 vom 26. August 2019 E. 5.2).</w:t>
      </w:r>
    </w:p>
    <w:p>
      <w:r>
        <w:rPr>
          <w:b/>
        </w:rPr>
        <w:t>E. 5.6</w:t>
      </w:r>
    </w:p>
    <w:p>
      <w:r>
        <w:t>Zusammenfassend ist es dem Beschwerdeführer nicht gelungen, nachzuweisen oder zumindest glaubhaft zu machen, im Zeitpunkt der Ausreise aus Marokko asylrechtlich relevanter Verfolgung seitens der marokkanischen Behörden gemäss Art. 3 AsylG ausgesetzt gewesen zu sein. Konkrete Anhaltspunkte für eine objektiv begründete Furcht vor künftiger gezielter, asyl- respektive flüchtlingsrechtlich relevanter Verfolgung des Beschwerdeführers durch die heimatlichen Behörden oder Drittpersonen im Sinne von Art. 3 AsylG liegen aufgrund der Aktenlage ebenso wenig vor. Das SEM hat demnach die Flüchtlingseigenschaft zu Recht verneint und das Asylgesuch des Beschwerdeführers zutreffend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AIG [SR 142.20]). Bezüglich der Geltendmachung von Wegweisungshindernissen gilt gemäss Praxis der gleiche Beweisstandard wie bei der Flüchtlingseigenschaft, das heisst, sie sind zu beweisen, wenn der strikte Beweis möglich ist, und andernfalls wenigstens glaubhaft zu machen.</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unter Hinweis auf die vorstehenden Erwägungen zum Asylpunkt nicht gelungen. Auch die allgemeine Menschenrechtssituation in Marokko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Marokko herrscht kein Krieg, Bürgerkrieg oder eine Situation allgemeiner Gewalt, aufgrund derer die Zivilbevölkerung als konkret gefährdet bezeichnet werden müsste. Der Wegweisungsvollzug dorthin ist daher grundsätzlich zumutbar (vgl. statt vieler das Urteil des BVGer E-2647/2020 vom 2. September 2020 E. 9.3.2).</w:t>
      </w:r>
    </w:p>
    <w:p>
      <w:r>
        <w:rPr>
          <w:b/>
        </w:rPr>
        <w:t>E. 7.3.2</w:t>
      </w:r>
    </w:p>
    <w:p>
      <w:r>
        <w:t>Vorliegend sprechen auch keine individuellen Gründe gegen die Zumutbarkeit des Wegweisungsvollzugs. Der Beschwerdeführer lebte seit Kindesalter mit seiner Familie in B._______. Die Geschwister und die Mutter seien nach wie vor dort wohnhaft und würden zwischenzeitlich über eigene Grundstücke und Häuser verfügen. Der Kontakt bestehe wieder. Soziale Anknüpfungspunkte sind somit erkennbar. Zudem handelt es sich beim Beschwerdeführer um einen alleinstehenden Mann, der grundsätzlich nur für den eigenen Lebensunterhalt zu sorgen hat. Seinen Angaben zufolge kann er eine Schulbildung sowie in Europa erworbene Arbeitserfahrung in verschiedenen Bereichen vorweisen. Es kann somit erwartet werden, dass er sich in wirtschaftlicher Hinsicht wird eingliedern können. Seine Einwände, in Marokko in ärmlichen Verhältnissen gelebt zu haben, vermögen nicht gegen die Zumutbarkeit des Vollzugs zu sprechen. Allfällige wirtschaftliche Reintegrationsschwierigkeiten vermögen dem Vollzug nicht entgegenzustehen, da blosse soziale oder wirtschaftliche Schwierigkeiten, von denen die ansässige Bevölkerung betroffen ist (bspw. Mangel an Arbeitsplätzen), keine existenzbedrohende Situation zu begründen vermögen (vgl. BVGE 2010/41 E. 8.3.6). Weder das nicht mehr ganz junge Alter des Beschwerdeführers noch seine lange Landesabwesenheit führen vor dem Hintergrund des vorstehend Gesagten zur Annahme der Unzumutbarkeit des Wegweisungsvollzugs. In Bezug auf die dokumentierten gesundheitlichen Beschwerden (vgl. aktenkundige Arztberichte vom 18. Oktober 2019 [Diagnose: (...)] und 20. Dezember 2019 [Diagnosen: (...); Suizidrisiko aktuell gering; Medikation anschlagend]) ist darauf hinzuweisen, dass aus gesundheitlichen Gründen nur dann auf Unzumutbarkeit des Wegweisungsvollzugs im Sinne von Art. 83 Abs. 4 AIG geschlossen werden kann, wenn eine dringend notwendige medizinische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den Wegweisungsvollzug unzumutbar machenden existenziellen medizinischen Notlage ist vorliegend aufgrund der Aktenlage nicht auszugehen. Der Beschwerdeführer fand laut den aktenkundigen medizinischen Unterlagen in der Schweiz fachärztliche Betreuung. Der EGMR anerkennt grundsätzlich keinen Anspruch auf Verbleib in einem Konventionsstaat, um weiterhin in den Genuss medizinischer Unterstützung zu kommen (vgl. Urteil vom 2. Mai 1997 i.S. D. gegen Vereinigtes Königreich) und es ist nicht davon auszugehen, der Beschwerdeführer wäre auf eine Behandlung angewiesen, die zwingend nur in der Schweiz gewährleistet werden könnte. Marokko verfügt über ein gut entwickeltes Gesundheitssystem und es darf davon ausgegangen werden, dass - sofern notwendig - eine adäquate medizinische (Weiter-)Behandlung der gesundheitlichen Probleme des Beschwerdeführers dort gewährleistet ist. Die in der Rechtsmitteleingabe angeführten Berichte zu einem Fachkräfte- und Medizinalbedarfmangel in ländlichen Gebieten Marokkos vermögen an dieser Einschätzung nichts zu ändern. Der Beschwerdeführer lebte vor seiner Ausreise in der Grossstadt B._______ und Marokko verfügt insbesondere in urbanen Zentren über eine genügende Anzahl von Einrichtungen, die psychiatrische oder psychologische Therapien anbieten. Überdies ist mit dem RAMED ein Mittel zur Sicherung der medizinischen Grundversorgung gegeben, mit dem auch wirtschaftlich bedürftigen Personen der Zugang zum Gesundheitssystem gewährt wird (vgl. hierzu Urteile des BVGer E-285/2020 vom 29. Januar 2020 S. 15 und E-3778/2016 vom 30. April 2018 E. 7.3.5). Bezüglich der Befürchtung einer Selbstgefährdung bei einem zwangsweisen Wegweisungsvollzug ist festzuhalten, dass vom Vollzug der Wegweisung gemäss konstanter Rechtsprechung nicht Abstand genommen wird, solange Massnahmen zwecks Verhütung der Umsetzung einer Suiziddrohung getroffen werden können. Dies scheint vorliegend bei allenfalls auftretenden suizidalen Tendenzen möglich. Dem Gesundheitszustand des Beschwerdeführers ist bei der Vollzugsorganisation mit einer angemessenen Vorbereitung Rechnung zu tragen. Es ist zwar nachvollziehbar, dass der negative Ausgang des Asylverfahrens und die damit verbundene Zukunftsangst eine grosse Belastung für den Beschwerdeführer darstellen, aber dies vermag nicht zu rechtfertigen, den Wegweisungsvollzug wegen Vorliegens einer medizinischen Notlage, die im Heimatland schlicht nicht behandelbar wäre, als unzumutbar zu bezeichnen. Ohne die Schwierigkeiten bei einer Rückkehr nach dem langjährigen Auslandsaufenthalt zu verkennen, ist somit insgesamt nicht davon auszugehen, der Beschwerdeführer würde bei einer Rückkehr nach Marokko aus individuellen Gründen wirtschaftlicher, sozialer oder gesundheitlicher Natur in eine existenzielle Notlage geraten, die als konkrete Gefährdung im Sinne der zu beachtenden Bestimmung zu werten wäre (Art. 83 Abs. 4 AIG). Bei dieser Sachlage ist im Übrigen gleichzeitig klar, dass in den gesundheitlichen Umständen kein völkerrechtliches Wegweisungsvollzugshindernis liegen kann.</w:t>
      </w:r>
    </w:p>
    <w:p>
      <w:r>
        <w:rPr>
          <w:b/>
        </w:rPr>
        <w:t>E. 7.3.3</w:t>
      </w:r>
    </w:p>
    <w:p>
      <w:r>
        <w:t>Nach dem Gesagten erweist sich der Vollzug der Wegweisung auch als zumutbar.</w:t>
      </w:r>
    </w:p>
    <w:p>
      <w:r>
        <w:rPr>
          <w:b/>
        </w:rPr>
        <w:t>E. 7.4</w:t>
      </w:r>
    </w:p>
    <w:p>
      <w:r>
        <w:t>Des Weiteren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AIG). Schliesslich steht auch die Corona-Pandemie dem Vollzug nicht entgegen. Es handelt sich dabei, wenn überhaupt, um ein temporäres Vollzugshindernis, dem im Rahmen der Vollzugsmodalitäten Rechnung zu tragen ist.</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grundsätzlich dem Beschwerdeführer aufzuerlegen (Art. 63 Abs. 1 VwVG). Nachdem ihm aber die unentgeltliche Prozessführung gemäss Art. 65 Abs. 1 VwVG gewährt wurde, ist von der Kostenerhebung abzusehen, zumal nicht ersichtlich ist, dass der Beschwerdeführer nicht mehr bedürftig wäre.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