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D-405/2020 vom 28. Januar 2020</w:t>
      </w:r>
    </w:p>
    <w:p>
      <w:r>
        <w:t>Bundesverwaltungsgericht, 2020-01-28, DE</w:t>
      </w:r>
    </w:p>
    <w:p>
      <w:r>
        <w:rPr>
          <w:b/>
        </w:rPr>
        <w:t xml:space="preserve">Quelle: </w:t>
      </w:r>
      <w:r>
        <w:t>https://mcp.opencaselaw.ch/entscheid/bvger_D-405_2020</w:t>
      </w:r>
    </w:p>
    <w:p>
      <w:r>
        <w:t>FR: TAF D-405/2020 du 28 janvier 2020</w:t>
      </w:r>
    </w:p>
    <w:p>
      <w:r>
        <w:t>IT: TAF D-405/2020 del 28 gennaio 2020</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Die Beschwerdeführenden sind als Verfügungsadressaten zur Beschwerdeführung legitimiert (Art. 48 Abs. 1 VwVG). Auf die frist- und formgerecht eingereichte Beschwerde ist - vorbehältlich der Erwägung 9.1 - einzutreten (Art. 108 Abs. 3 AsylG und Art. 52 Abs. 1 VwVG).</w:t>
      </w:r>
    </w:p>
    <w:p>
      <w:r>
        <w:rPr>
          <w:b/>
        </w:rPr>
        <w:t>E. 1.2</w:t>
      </w:r>
    </w:p>
    <w:p>
      <w:r>
        <w:t>Zwar ist im Beschwerdeverfahren die Sprache des angefochtenen Entscheides massgebend, indessen kann das Verfahren in einer anderen Amtssprache geführt werden, wenn die Parteien eine solche verwenden (vgl. Art. 33a Abs. 2 VwVG). In Übereinstimmung mit der Beschwerdeschrift wird das vorliegende Beschwerdeverfahren deshalb in deutscher Sprache geführt.</w:t>
      </w:r>
    </w:p>
    <w:p>
      <w:r>
        <w:rPr>
          <w:b/>
        </w:rPr>
        <w:t>E. 1.3</w:t>
      </w:r>
    </w:p>
    <w:p>
      <w:r>
        <w:t>Die Rechtsvertreterin der Beschwerdeführenden hat mit der Beschwerdeschrift lediglich eine auf den Beschwerdeführer lautende Vollmacht eingereicht, die Nachreichung einer Vollmacht für die Beschwerdeführerin jedoch in Aussicht gestellt. Eine solche ist beim Gericht bis anhin nicht eingegangen. Angesichts des Umstandes, dass die Beschwerdeschrift gemäss Rubrum und Begründung für alle Familienmitglieder gelten soll, keine Anhaltspunkte vorliegen, dass ohne Wissen und Willen der Beschwerdeführerin das Rechtsmittel ergriffen wurde, und es sich um ein Schnellverfahren handelt, dessen Rechtsmittelfrist mittlerweile längst abgelaufen ist, kann vorliegend auf die Einholung einer Vollmacht verzichtet werden, zumal der Beschwerdeführerin daraus kein Rechtsnachteil erwächst.</w:t>
      </w:r>
    </w:p>
    <w:p>
      <w:r>
        <w:rPr>
          <w:b/>
        </w:rPr>
        <w:t>E. 2.1</w:t>
      </w:r>
    </w:p>
    <w:p>
      <w:r>
        <w:t>Mit Beschwerde kann die Verletzung von Bundesrecht sowie die unrichtige oder unvollständige Feststellung des rechtserheblichen Sachverhalts gerügt werden (Art. 106 Abs. 1 AsylG).</w:t>
      </w:r>
    </w:p>
    <w:p>
      <w:r>
        <w:rPr>
          <w:b/>
        </w:rPr>
        <w:t>E. 2.2</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 Gestützt auf Art. 111a Abs. 1 AsylG wurde auf einen Schriftenwechsel verzichtet.</w:t>
      </w:r>
    </w:p>
    <w:p>
      <w:r>
        <w:rPr>
          <w:b/>
        </w:rPr>
        <w:t>E. 3</w:t>
      </w:r>
    </w:p>
    <w:p>
      <w:r>
        <w:t>Bei Beschwerden gegen einen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Ein Abgleich mit der europäischen Fingerabdruck-Datenbank (Zentraleinheit Eurodac) ergab, dass die Beschwerdeführenden in Kroatien am 14. Oktober 2019 ein Asylgesuch eingereicht hatten beziehungsweise am 15. Oktober 2019 wegen illegaler Einreise in das Hoheitsgebiet der Dublin-Mitgliedstaaten erfasst wurden. Auf das Informationsersuchen seitens des SEM vom 8. November 2019 hin, bestätigten die kroatischen Behörden am 12. Dezember 2019 die Asylgesuchstellung und erklärten, Kroatien sei der für die Beschwerdeführenden zuständige Mitgliedstaat. In der Folge ersuchte das SEM deshalb die kroatischen Behörden am 13. Dezember 2019 um Übernahme der Beschwerdeführenden gestützt auf Art. 18 Abs. 1 Bst. b Dublin-III-VO. Die kroatischen Behörden hiessen das Ersuchen am 23. Dezember 2019 gut. Vor diesem Hintergrund ist die Zuständigkeit Kroatiens zur Durchführung des Asyl- und Wegweisungsverfahrens gegeben. Der Umstand, dass die Beschwerdeführenden in Kroatien kein Asylgesuch gestellt haben wollen, vermag an der feststehenden Zuständigkeit Kroatiens nichts zu ändern. Es besteht kein Anlass, die im Eurodac vorgenommenen Registrierungen in Frage zu stellen beziehungsweise begründet die Registrierung der Beschwerdeführenden die Zuständigkeit per se (vgl. Art. 13 Abs. 1 Dublin-III-VO).</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5.1</w:t>
      </w:r>
    </w:p>
    <w:p>
      <w:r>
        <w:t>In der Beschwerde wird im Wesentlichen geltend gemacht, dass zahlreiche Berichte aufzeigen würden, dass Flüchtlinge in Kroatien immer wieder unmenschlich behandelt würden. Obwohl es tausende über die Grenze in Kroatien schaffen, würden sie mit Gewalt systematisch in andere Länder wie Bosnien zurückgeschoben. Bereits am 13. März 2019 habe Amnesty International darüber berichtet, wie Flüchtlinge durch die kroatischen Behörden systematisch rechtswidrig und oftmals mit Gewalt sogenannte Push-Backs und Kollektivabschiebungen hätten erleiden müssen. Auch Human Rights Watch habe seit 2016 das Vorgehen der kroatischen Behörden dokumentiert und festgestellt, dass in manchen Fällen die kroatischen Grenzbeamten während den Sammelabschiebungen nach Serbien und Bosnien Migranten geschlagen und diese getreten hätten. Diese Gewalt habe auch Frauen und Kinder getroffen. Die Beschwerdeführerin und der Beschwerdeführer hätten diese Situation anlässlich des Dublin-Gespräches geschildert. Das Gespräch sei mit Telefon-Dolmetscher geführt worden und habe lediglich 45 Minuten gedauert. Beide hätten trotz Rechtsvertretung nicht verstanden, worum es in diesen Befragungen gegangen sei, aber die Fragen beantwortet und bekräftigt, dass sie nicht nach Kroatien zurückkehren wollten. Sie seien drei Mal aus Bosnien nach Kroatien eingereist und jedes Mal von der kroatischen Polizei mit Gewalt nach Bosnien zurückgedränt worden. Vor den Augen der Kinder habe die Polizei den Beschwerdeführer geschlagen und das Geld sowie die Kleider und Nahrungsmittel weggenommen. Beim vierten Mal seien sie von der Polizei angehalten und mit ungefähr 17 Personen in einem geschlossenen Fahrzeug nach Zagreb transportiert worden. Auf der Fahrt hätten sich bei der Beschwerdeführerin Symptome eines Herzinfarktes bemerkbar gemacht und sie sei bewusstlos geworden. Die Tochter sei ebenfalls bewusstlos geworden, weil die Luft schlecht gewesen sei. Als sie darum gebeten hätten, kurz die Türe des Fahrzeugs zu öffnen, sei der Beschwerdeführer, mit der Tochter im Arm, von Polizisten getreten worden. Trotz des unmenschlichen Transports habe die Polizei sie im Fahrzeug vor der Polizeistation warten lassen. Sie hätten dort weder Nahrung noch Wasser bekommen und seien auch nicht ärztlich untersucht worden. In der Asylunterkunft in Zagreb sei die Situation auch nicht menschenrechtskonform gewesen. Sie hätten 12 Tage lang schmutzige Kleider tragen müssen. Die Beschwerdeführerin habe keine Nahrungsmittel für ihre Tochter erhalten und als sie solche selber habe kaufen wollen, sei sie auf der Strasse beleidigt worden. Auch die medizinische Versorgung sei nicht gewährleistet worden, obwohl sie mehrmals darum gebeten hätten.</w:t>
      </w:r>
    </w:p>
    <w:p>
      <w:r>
        <w:rPr>
          <w:b/>
        </w:rPr>
        <w:t>E. 5.2</w:t>
      </w:r>
    </w:p>
    <w:p>
      <w:r>
        <w:t>Mit ihren Vorbringen fordern die Beschwerdeführenden die Anwendung von Art. 17 Abs. 1 Dublin-III-VO respektive Art. 29a Abs. 3 AsylV 1. Es ist daher nachfolgend im Licht von Art. 3 Abs. 2 Dublin-III-VO zu prüfen, ob wesentliche Gründe für die Annahme bestehen, das Asylverfahren und die Aufnahmebedingungen für Asylsuchende in Kroatien würden systemische Schwachstellen aufweisen, die eine Gefahr einer unmenschlichen oder entwürdigenden Behandlung der Beschwerdeführenden im Sinn des Artikels 4 der EU-Grundrechtecharta mit sich bringen würden und ob nach Art. 17 Abs. 1 Satz 1 Dublin-III-VO das Selbsteintrittsrecht auszuüben ist.</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Beschwerdeführenden äussern in ihrer Beschwerde unter Berufung auf verschiedene Quellen Kritik am kroatischen Asylsystem und befürchten bei einer Überstellung nach Kroatien eine Verletzung ihrer Grundrechte. Das Bundesverwaltungsgericht geht trotz dieser Kritik gemäss seiner konstanten Rechtsprechung davon aus, dass es keine Gründe für die Annahme gibt, das Asylverfahren und die Aufnahmebedingungen für Antragsteller in Kroatien würden systemische Schwachstellen im Sinne von Art. 3 Abs. 2 Sätze 2 und 3 Dublin-III-VO aufweisen, die eine Gefahr einer unmenschlichen oder entwürdigenden Behandlung im Sinne des Artikels 4 der EU-Grundrechtecharta mit sich bringen (vgl. Urteile des BVGer D-3665/2019 vom 25. Juli 2019; D-2829/2019 vom 12. Juni 2019; E-482/2019 vom 8. Februar 2019 E. 4). Das Bundesverwaltungsgericht geht demnach nicht davon aus, dass in Kroatien systemische Mängel betreffend die Asyl- und Aufnahmesituation vorliegen würden. Die von den Beschwerdeführenden in genereller Weise dargelegte Kritik an Kroatiens Asylsystem vermag daran nichts zu ändern. Auch aus dem in der Beschwerde zitierten Urteil des Bundesverwaltungsgerichts E-3078/2019 vom 12. Juli 2019 vermögen die Beschwerdeführenden nichts zu ihren Gunsten ableiten. Das besagte Urteil hatte sich insbesondere mit der sogenannten "Pushback-Problematik" an die bosnische Grenze zu befassen, wobei es die Vorinstanz in diesem Fall versäumt hatte, sich mit den Vorbringen des Beschwerdeführenden einzelfallgerecht auseinanderzusetzen. Die vorliegende Sachverhaltskonstellation ist mit der Beschriebenen nicht vergleichbar. Zwar haben der Beschwerdeführer und die Beschwerdeführerin im vorinstanzlichen Verfahren angegeben, sie seien von der kroatischen Polizei dreimal an der Grenze daran gehindert worden, einzureisen ([...]), allerdings ist ihnen schliesslich die Einreise gelungen und sie waren in der Lage in Kroatien um Asyl nachzusuchen, was auch von den kroatischen Behörden bestätigt worden ist. Mithin kann nicht davon gesprochen werden, dass ihnen der Zugang zur Asylantragstellung verweigert worden wäre, zumal sich die Beschwerdeführenden dem Asylverfahren in Kroatien durch ihre eigene Weiterreise entzogen haben.</w:t>
      </w:r>
    </w:p>
    <w:p>
      <w:r>
        <w:rPr>
          <w:b/>
        </w:rPr>
        <w:t>E. 6.2</w:t>
      </w:r>
    </w:p>
    <w:p>
      <w:r>
        <w:t>Die Beschwerdeführenden haben kein konkretes und ernsthaftes Risiko dargetan, die kroatischen Behörden würden sich weigern, sie aufzunehmen und ihren Antrag auf internationalen Schutz unter Einhaltung der Regeln der Verfahrensrichtlinie zu prüfen. Den Akten sind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Vor dem Hintergrund, dass die kroatischen Behörden einer Übernahme der Beschwerdeführenden zugestimmt haben und die Zuständigkeit Kroatiens für die Durchführung des Asyl- und Wegweisungsverfahrens feststeht, ist insbesondere nicht davon auszugehen, dass die Beschwerdeführenden von Kroatien illegal abgeschoben würden. Im Weiteren ist auch nicht davon auszugehen, die kroatischen Behörden würden sie in ihre Heimat zurückschaffen, ohne zuvor ihre Asylgründe geprüft zu haben und das Non-Refoulement-Gebot einzuhalten. Die Beschwerdeführenden haben ausserdem nicht dargetan, die sie bei einer Rückführung erwartenden Bedingungen in Kroatien seien derart schlecht, dass sie zu einer Verletzung von Art. 4 der EU-Grundrechtecharta, Art. 3 EMRK oder Art. 3 FoK führen könnten. Sie haben auch nicht konkret dargelegt, Kroatien würde ihnen dauerhaft die ihnen gemäss Aufnahmerichtlinie zustehenden minimalen Lebensbedingungen vorenthalten. Bei einer allfälligen vorübergehenden Einschränkung steht es ihnen offen, sich an die zuständigen kroatischen Behörden zu wenden und die ihnen zustehenden Aufnahmebedingungen auf dem Rechtsweg einzufordern (vgl. Art. 26 Aufnahmerichtlinie). Es sind keine konkreten Anhaltspunkte dafür ersichtlich, die Beschwerdeführenden gerieten im Falle einer Wegweisung nach Kroatien wegen der dortigen Aufenthaltsbedingungen in eine existenzielle Notlage. Sie haben die Möglichkeit, bei allfälligen Schwierigkeiten die dafür zuständigen Behörden beziehungsweise die vor Ort tätigen karitativen Organisationen zu kontaktieren. Zudem steht es ihnen offen, sich bei allfälligen Problemen bei der Unterbringung oder beim Zugang zum Asylverfahren an die zuständigen kroatischen Justizbehörden zu wenden.</w:t>
      </w:r>
    </w:p>
    <w:p>
      <w:r>
        <w:rPr>
          <w:b/>
        </w:rPr>
        <w:t>E. 7.1</w:t>
      </w:r>
    </w:p>
    <w:p>
      <w:r>
        <w:t>Die Beschwerdeführenden berufen sich schliesslich auf ihren Gesundheitszustand, der einer Überstellung entgegenstehe. Diesbezüglich ist Folgendes festzuhalten: Der Beschwerdeführer gab anlässlich des Dublin-Interviews an, er sei bei sehr guter Gesundheit ([...]). Auch die Beschwerdeführerin führte aus, dass es ihr und auch den beiden Kindern gut gehe ([...]). Aus den Akten ist ersichtlich, dass bei der Tochter anlässlich eines Arztbesuches eine (...) diagnostiziert wurde und dass ihr dagegen Medikamente verschrieben worden sind, die sie mittlerweile abgesetzt haben dürfte ([...]). Weiter ist aus den Akten ersichtlich, dass der Sohn sowie der Beschwerdeführer und die Beschwerdeführerin den Arzt zwecks Impfung aufgesucht haben ([...]). Gegenwärtige Beschwerden oder Behandlungen sind aus den Akten nicht ersichtlich und werden auch auf Beschwerdeebene nicht belegt.</w:t>
      </w:r>
    </w:p>
    <w:p>
      <w:r>
        <w:rPr>
          <w:b/>
        </w:rPr>
        <w:t>E. 7.2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7.3</w:t>
      </w:r>
    </w:p>
    <w:p>
      <w:r>
        <w:t>Eine solche Situation ist vorliegend deutlich zu verneinen. Die Beschwerdeführenden konnten nicht nachweisen, dass eine Überstellung ihre Gesundheit ernsthaft gefährden würde. Ihr Gesundheitszustand vermag die Feststellung der Unzulässigkeit im Sinne der erwähnten restriktiven Rechtsprechung offenkundig nicht zu rechtfertigen.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Kroatien verfügt über eine ausreichende medizinische Infrastruktur, weshalb sich die Beschwerdeführenden im Bedarfsfall an das dafür zuständige medizinische Fachpersonal wenden können. Es liegen keine Hinweise vor, wonach Kroatien seinen Verpflichtungen im Rahmen der Dublin-III-VO in medizinischer Hinsicht nicht nachkommen würde. Für das weitere Dublin-Verfahren ist einzig die Reisefähigkeit ausschlaggebend, welche erst kurz vor der Überstellung definitiv beurteilt wird. Eine allenfalls fehlende Reisefähigkeit stellt lediglich ein temporäres Vollzugshindernis dar. Zudem ist darauf hinzuweisen, dass das SEM - wie es in der angefochtenen Verfügung festhielt - dem aktuellen Gesundheitszustand der Beschwerdeführenden bei der Organisation der Überstellung nach Kroatien Rechnung trägt, indem es die kroatischen Behörden im Sinne von Art. 31 und Art. 32 Dublin-III-VO vorgängig über den Gesundheitszustand und die notwendige medizinische Behandlung informieren wird. Die kroatischen Behörden werden damit in der Lage sein, die notwendigen Vorkehrungen zu treffen.</w:t>
      </w:r>
    </w:p>
    <w:p>
      <w:r>
        <w:rPr>
          <w:b/>
        </w:rPr>
        <w:t>E. 7.4</w:t>
      </w:r>
    </w:p>
    <w:p>
      <w:r>
        <w:t>Nach dem Gesagten besteht kein konkretes und ernsthaftes Risiko, dass die Überstellung der Beschwerdeführenden nach Kroatien gegen Art. 3 EMRK oder andere völkerrechtliche Verpflichtungen der Schweizoder Landesrecht verstossen würde.</w:t>
      </w:r>
    </w:p>
    <w:p>
      <w:r>
        <w:rPr>
          <w:b/>
        </w:rPr>
        <w:t>E. 7.5</w:t>
      </w:r>
    </w:p>
    <w:p>
      <w:r>
        <w:t>Soweit die Beschwerdeführenden das Vorliegen von "humanitären Gründen" geltend machen,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Das SEM führte in der angefochtenen Verfügung aus, in Würdigung der Aktenlage und der geltend gemachten Umstände würden keine Gründe vorliegen, die die Anwendung der Souveränitätsklausel der Schweiz rechtfertigten. Es hat diesen Umständen in der angefochtenen Verfügung Rechnung getragen und sich insbesondere auch mit der gesundheitlichen Situation der Beschwerdeführenden ausreichend auseinandergesetzt ([...]). Auf weitere medizinische Abklärungen durfte daher berechtigterweise verzichtet werden. Vor diesem Hintergrund erübrigt es sich, die angefochtene Verfügung aufzuheben und die Angelegenheit zu weiteren Sachverhaltsabklärungen an das SEM zurückzuweisen. Der entsprechende Eventualantrag ist abzuweisen. Die Vorinstanz hat nach dem Gesagten innerhalb ihres Ermessensspielraums gehandelt, welcher im Ergebnis vom Bundesverwaltungsgericht nicht mehr überprüft werden kann, weshalb es sich weiterer Ausführungen zur Frage eines Selbsteintritts enthält.</w:t>
      </w:r>
    </w:p>
    <w:p>
      <w:r>
        <w:rPr>
          <w:b/>
        </w:rPr>
        <w:t>E. 7.6</w:t>
      </w:r>
    </w:p>
    <w:p>
      <w:r>
        <w:t>An dieser Stelle bleibt festzuhalten, dass die Dublin-III-VO den Schutzsuchenden kein Recht einräumt, den ihren Antrag prüfenden Staat selber auszuwählen (vgl. auch BVGE 2010/45 E. 8.3), weshalb die Beschwerdeführenden aus ihrem Wunsch nach einem Verbleib in der Schweiz nichts zu ihren Gunsten abzuleiten vermögen. Kroatien bleibt der für die Behandlung ihrer Asylgesuche zuständige Mitgliedstaat gemäss Dublin-III-VO.</w:t>
      </w:r>
    </w:p>
    <w:p>
      <w:r>
        <w:rPr>
          <w:b/>
        </w:rPr>
        <w:t>E. 8</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Kroatien in Anwendung von Art. 44 AsylG ebenfalls zu Recht angeordnet (Art. 32 Abs. 1 Bst. a AsylV 1).</w:t>
      </w:r>
    </w:p>
    <w:p>
      <w:r>
        <w:rPr>
          <w:b/>
        </w:rPr>
        <w:t>E. 9.1</w:t>
      </w:r>
    </w:p>
    <w:p>
      <w:r>
        <w:t>Da das Fehlen von Überstellungshindernissen bereits Voraussetzung des Nichteintretensentscheides gemäss Art. 31a Abs. 1 Bst. b AsylG ist, sind allfällige Vollzugshindernisse gemäss Art. 83 Abs. 3 und 4 AIG (SR 142.20) nicht mehr zu prüfen (vgl. BVGE 2015/18 E. 5.2 m.w.H.), weshalb auf das Rechtsbegehren um Gewährung der vorläufigen Aufnahme nicht einzutreten ist.</w:t>
      </w:r>
    </w:p>
    <w:p>
      <w:r>
        <w:rPr>
          <w:b/>
        </w:rPr>
        <w:t>E. 9.2</w:t>
      </w:r>
    </w:p>
    <w:p>
      <w:r>
        <w:t>Indes ist das SEM dazu gehalten, die zuständigen kroatischen Behörden im Sinne von Art. 31 Dublin-III-VO zu ersuchen, die Beschwerdeführenden gemeinsam als Familie in Empfang zu nehmen und in einer adäquaten Unterkunft unterzubringen.</w:t>
      </w:r>
    </w:p>
    <w:p>
      <w:r>
        <w:rPr>
          <w:b/>
        </w:rPr>
        <w:t>E. 10</w:t>
      </w:r>
    </w:p>
    <w:p>
      <w:r>
        <w:t>Zusammenfassend verletzt die angefochtene Verfügung Bundesrecht nicht und stellt den rechtserheblichen Sachverhalt richtig sowie vollständig fest (Art. 106 Abs. 1 AsylG). Die Beschwerde ist demzufolge abzuweisen.</w:t>
      </w:r>
    </w:p>
    <w:p>
      <w:r>
        <w:rPr>
          <w:b/>
        </w:rPr>
        <w:t>E. 11</w:t>
      </w:r>
    </w:p>
    <w:p>
      <w:r>
        <w:t>Mit vorliegendem Urteil in der Hauptsache sind die Gesuche um Gewährung der aufschiebenden Wirkung und um Befreiung von der Kostenvorschusspflicht gegenstandslos geworden. Der am 22. Januar 2020 angeordnete vorsorgliche Vollzugsstopp fällt mit vorliegendem Urteil dahin.</w:t>
      </w:r>
    </w:p>
    <w:p>
      <w:r>
        <w:rPr>
          <w:b/>
        </w:rPr>
        <w:t>E. 12.1</w:t>
      </w:r>
    </w:p>
    <w:p>
      <w:r>
        <w:t>Die Begehren waren - wie sich aus den vorstehenden Erwägungen ergibt - als aussichtslos zu bezeichnen, weshalb das Gesuch um Gewährung der unentgeltlichen Prozessführung gemäss Art. 65 Abs. 1 VwVG unbesehen einer allfälligen Bedürftigkeit abzuweisen ist. Dementsprechend ist auch das Gesuch um unentgeltliche Rechtsverbeiständung abzuweisen.</w:t>
      </w:r>
    </w:p>
    <w:p>
      <w:r>
        <w:rPr>
          <w:b/>
        </w:rPr>
        <w:t>E. 12.2</w:t>
      </w:r>
    </w:p>
    <w:p>
      <w:r>
        <w:t>Bei diesem Ausgang des Verfahrens sind die Kosten von Fr. 750.-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