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D-4056/2013 vom 25. Juli 2013</w:t>
      </w:r>
    </w:p>
    <w:p>
      <w:r>
        <w:t>Bundesverwaltungsgericht, 2013-07-25, DE</w:t>
      </w:r>
    </w:p>
    <w:p>
      <w:r>
        <w:rPr>
          <w:b/>
        </w:rPr>
        <w:t xml:space="preserve">Quelle: </w:t>
      </w:r>
      <w:r>
        <w:t>https://mcp.opencaselaw.ch/entscheid/bvger_D-4056_2013</w:t>
      </w:r>
    </w:p>
    <w:p>
      <w:r>
        <w:t>FR: TAF D-4056/2013 du 25 juillet 2013</w:t>
      </w:r>
    </w:p>
    <w:p>
      <w:r>
        <w:t>IT: TAF D-4056/2013 del 25 luglio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müssen Gesuchstellende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Glaubhaftmachung bedeutet ferner - im Gegensatz zum strikten Beweis - ein reduziertes Beweismass und lässt durchaus Raum für gewisse Einwände und Zweifel an den Vorbringen einer gesuchstellenden Person.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Entscheidungen und Mitteilungen der [vormaligen] Schweizerischen Asylrekurskommission [EMARK] 2005 Nr. 21 E. 6.1 S. 190 f.).</w:t>
      </w:r>
    </w:p>
    <w:p>
      <w:r>
        <w:rPr>
          <w:b/>
        </w:rPr>
        <w:t>E. 5.1</w:t>
      </w:r>
    </w:p>
    <w:p>
      <w:r>
        <w:t>Die Vorinstanz hat unter Angabe der jeweiligen Fundstellen in den Protokollen ausführlich dargelegt, weshalb die Vorbringen der Beschwerdeführerin den Anforderungen an die Glaubhaftigkeit gemäss Art. 7 AsylG nicht zu genügen vermögen. Das Bundesverwaltungsgericht sieht nach Überprüfung der Akten keine Veranlassung, von den durch die Vorinstanz gezogenen Feststellungen und Schlussfolgerungen abzuweichen. Zur Vermeidung von Wiederholungen kann daher auf die nicht zu beanstandenden Erwägungen des BFM in der angefochtenen Verfügung verwiesen werden.</w:t>
      </w:r>
    </w:p>
    <w:p>
      <w:r>
        <w:rPr>
          <w:b/>
        </w:rPr>
        <w:t>E. 5.2</w:t>
      </w:r>
    </w:p>
    <w:p>
      <w:r>
        <w:t>Lediglich ergänzend sei auf zusätzliche der Glaubhaftigkeit abträgliche Sachverhaltselemente hingewiesen. Die Beschwerdeführerin führte anlässlich der Erstbefragung sowie zu Beginn der Bundesanhörung (S. 2) aus, sie sei von den Soldaten bei der ersten Begegnung unter anderem über allfällig noch vorhandene Kontakte zu ihrem Freund D. sowie zu dessen Aufenthaltsort befragt worden, währenddem sie etwas später bei der Bundesanhörung zu Protokoll gab, D. sei zu diesem Zeitpunkt bereits verhaftet gewesen und hätte sie verraten (S. 7 f.). Zur Verdeutlichung eines zentralen Unglaubhaftigkeitselements in ihren Vorbringen ist - wie von der Vorinstanz in der angefochtenen Verfügung bereits ausführlich dargelegt - nochmals der Umstand hervorzuheben, dass die Beschwerdeführerin vor dem Hintergrund der behaupteten regelmässigen Suche durch Armeeangehörige während rund eines Jahres in ihrem von circa 60-70 Familien oder knapp 1000 Personen bewohnten Heimatdorf vollkommen unbehelligt geblieben sein will. Schliesslich sei auch vermerkt, dass die Beschwerdeführerin seit anfangs 2006 in D. verliebt gewesen sein will und sich mit ihm auch eine gemeinsame Zukunft hätte vorstellen können. Für die Zeitspanne bis zur angeblich ersten Begegnung mit den Soldaten, will die Beschwerdeführerin aber nie irgendwelche Probleme mit den heimatlichen Behörden gehabt haben, obschon D. bis zu seinem Wegzug ins Vanni-Gebiet im Jahre 2009 wöchentlich mindestens viermal im Geschäft vorbeigekommen sei und grössere Mengen Lebensmittel abgeholt und in einen Van geladen habe. Ebenfalls widerfuhren ihr keine nachteiligen Massnahmen staatlicher Organe für den Zeitraum danach d.h. bis zur geltend gemachten ersten Begegnung mit den Soldaten am 8. Juni 2012.</w:t>
      </w:r>
    </w:p>
    <w:p>
      <w:r>
        <w:rPr>
          <w:b/>
        </w:rPr>
        <w:t>E. 5.3</w:t>
      </w:r>
    </w:p>
    <w:p>
      <w:r>
        <w:t>Die Vorbringen in der Rechtsmitteleingabe sind nicht geeignet, eine Änderung der angefochtenen Verfügung herbeizuführen. Der Sachverhalt bleibt unverändert. Die der Beschwerdeführerin von der Vorinstanz vorgehaltenen Unglaubhaftigkeitselemente werden nicht entkräftet oder beseitigt. Insbesondere wird keine Klärung in die zentralsten Punkte ihrer unstimmig und ungereimt ausgefallenen Asylvorbringen hineingebracht. So verkennt die Beschwerdeführerin, dass es bei der Prüfung der Glaubhaftigkeit nicht nur darauf ankommt, ob sie Angaben machte oder nicht, sondern vor allem darauf, ob die Angaben substanziiert, nachvollziehbar und widerspruchsfrei ausgefallen sind. Hinsichtlich der auf Beschwerdestufe den vorinstanzlichen Erwägungen entgegengehaltenen Ausführungen ist festzustellen, dass sich die diesbezüglichen Vorbringen letztlich in unbehelflichen Erklärungsversuchen und mutmassenden Äusserungen erschöpfen. Die Unwissenheit der jungen und entsprechend über wenig Lebenserfahrung verfügenden Beschwerdeführerin - entgegen der Altersangabe in der Beschwerde war die Beschwerdeführerin zum fraglichen Zeitpunkt rund 17 ½ Jahre alt - rund um die Person von D. wird unter anderem damit erklärt, dass D. als LTTE-Mitglied ein professionelles Verhalten an den Tag gelegt und durch die nicht Preisgabe seines persönlichen Hintergrunds verhindert habe, dass der Feind allenfalls Rückschlüsse über die Strukturen und Aufenthaltsorte von LTTE-Angehörige hätte gewinnen können. Wenig überzeugend wirken die Ausführungen im Zusammenhang mit dem Erkanntwerden ihrer Person anlässlich der ersten Begegnung mit den Soldaten (räumliche Nähe zwischen Lebensmittelgeschäft und Wohnhaus, Beschwerdeführerin habe zuletzt den Laden verlassen und abgeschlossen). Gleichermassen verhält es sich mit den Schilderungen zum Wurf einer Handgranate ins Geschäft eines Nachbarn (realistischerweise werfe so etwas in Sri Lanka keine hohen Wellen auf) sowie zur "spektakulären" Flucht anlässlich der zweiten Begegnung mit den Soldaten (Ortskenntnisse). Bezüglich den von der Vorinstanz aufgezeigten Widersprüchen wird lediglich ausgeführt, dass diese zu relativieren seien. Im Grunde genommen werden sie aber nicht bestritten, sondern vielmehr als nicht zentral oder unvollständig protokolliert dargestellt. Für diese Behauptung fehlen indes aber jegliche Anhaltspunkte. Die Beschwerdeführerin wurde in den beiden insgesamt sieben Stunden dauernden Befragungen (Erstbefragung/Bundesanhörung) in ihrer Muttersprache einlässlich zu den Gründen, welche sie zum Verlassen ihres Heimatlandes bewogen haben, angehört. Den Protokollen sind keine Hinweise dafür zu entnehmen, dass die Verständigung mit dem Dolmetscher nicht geklappt hätte. Im Gegenteil, diese wurde entweder als gut, klar verstanden oder sehr gut bezeichnet. Ebenso finden sich in den Protokollen keine Unregelmässigkeiten, die darauf schliessen liessen, die Befragungen wären in einer die Beschwerdeführerin überfordernden Art und Weise respektive in einer unhaltbaren Befragungssituation durchgeführt worden. Nach Rückübersetzung der Richtigkeit und Vollständigkeit der diesbezüglichen Protokolle bestätigte sie diese denn auch unterschriftlich, weshalb sie sich bei ihren Aussagen behaften zu lassen hat. All dies erfährt letztlich noch dadurch an Gewicht, als dass die bei der Bundesanhörung anwesende Hilfswerkvertretung keine Einwände anzumelden beziehungsweise weitere Abklärungen anzuregen hatte. Damit ergibt sich zusammenfassend, dass mit dem BFM insgesamt von der Unglaubhaftigkeit der Angaben der Beschwerdeführerin auszugehen ist. Was sodann die übrigen in der Rechtsmitteleingabe gemachten Ausführungen anbelangt, so wird dabei mit Hinweisen auf diverse Publikationen lediglich die allgemeine Sicherheitslage in Sri Lanka skizziert. Konkret auf die Person der Beschwerdeführerin bezogene Ausführungen respektive nähere Aufschlüsse oder Hinweise, die geeignet wären, nachteiligen Massnahmen asylrelevanten Ausmasses im Falle einer Rückkehr in ihr Heimatland aufzuzeigen, werden jedoch nicht dargelegt.</w:t>
      </w:r>
    </w:p>
    <w:p>
      <w:r>
        <w:rPr>
          <w:b/>
        </w:rPr>
        <w:t>E. 5.4</w:t>
      </w:r>
    </w:p>
    <w:p>
      <w:r>
        <w:t>Insgesamt gelangt das Bundesverwaltungsgericht zur Erkenntnis, dass das BFM zu Recht von der Feststellung der Flüchtlingseigenschaft abgesehen und das Asylgesuch abgelehnt hat. Bei dieser Sachlage erübrigt es sich, auf die weiteren Ausführungen in der Beschwerdeschrift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mit Hinweis auf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im Grundsatzurteil BVGE 2011/24 eine neue Beurteilung der allgemeinen Lage sowie der Situation in den Nord- und Ostprovinzen Sri Lankas unter dem Sicherheitsaspekt vorgenommen. Von den dortigen Schlussfolgerungen abzuweichen, besteht entgegen der Ausführungen in der Beschwerdeschrift keine Veranlassung. Vielmehr sind unter Berücksichtigung der dortigen Ausführungen keine Gründe ersichtlich, welche den Wegweisungsvollzug der Beschwerdeführerin nach Sri Lanka als unzumutbar erscheinen liessen. Die Beschwerdeführerin stammt aus D._______ (Ostprovinz), wo sie seit Geburt bis zur Ausreise gelebt hat. Des Weiteren sind keine individuellen Gründe ersichtlich, welche gegen die Zumutbarkeit des Wegweisungsvollzuges sprechen würden. Die junge, ledige und - soweit aktenkundig - gesunde Beschwerdeführerin verfügt über eine (Anzahl Jahre) Schulbildung und half während Jahren vor ihrer Ausreise ihrem Vater im Lebensmittelladen, welcher einem Onkel gehörte. Nebst den im Heimatland erworbenen Erfahrungen im Erwerbsleben sowie eines intakten, familiären Beziehungsnetzes (gemeinsamer Haushalt mit Eltern, jüngerer Schwester und jüngerem Bruder) ist schliesslich aufgrund all dieser begünstigenden Faktoren im Falle einer Rückkehr von einer nicht erschwerten Reintegration auszugehen. Nach dem Gesagten erweist sich der Vollzug der Wegweisung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Mit vorliegendem Entscheid in der Hauptsache wird das Gesuch um Verzicht auf die Erhebung eines Kostenvorschusses gegenstandslos. 10.Bei diesem Ausgang des Verfahrens sind die Kosten von Fr. 600.- (Art. 1 - 3 des Reglements vom 21. Februar 2008 über die Kosten und Ent­schädigungen vor dem Bundesverwaltungsgericht [(VGKE, SR 173.320.2]) der Beschwerdeführerin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