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D-4054/2011 vom 11. März 2013</w:t>
      </w:r>
    </w:p>
    <w:p>
      <w:r>
        <w:t>Bundesverwaltungsgericht, 2013-03-11, DE</w:t>
      </w:r>
    </w:p>
    <w:p>
      <w:r>
        <w:rPr>
          <w:b/>
        </w:rPr>
        <w:t xml:space="preserve">Quelle: </w:t>
      </w:r>
      <w:r>
        <w:t>https://mcp.opencaselaw.ch/entscheid/bvger_D-4054_2011</w:t>
      </w:r>
    </w:p>
    <w:p>
      <w:r>
        <w:t>FR: TAF D-4054/2011 du 11 mars 2013</w:t>
      </w:r>
    </w:p>
    <w:p>
      <w:r>
        <w:t>IT: TAF D-4054/2011 del 11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 und Art. 6 AsylG). Die Beschwerde ist frist- und formgerecht eingereicht. Der Beschwer­deführer hat am Verfahren vor der Vorinstanz teilgenommen, ist durch die angefochtene Verfügung besonders berührt und hat ein schutzwürdiges Interesse an ihrer Aufhebung oder Änderung. Er ist daher zur Einreichung einer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einzig gegen die Anordnung des Wegweisungsvollzugs. Damit ist die angefochtene Verfügung hinsichtlich der Nichterfüllung der Flüchtlingseigenschaft, der Ablehnung des Asylgesuchs und der Anordnung der Wegweisung (Ziffern 1-3 des Dispositivs der angefochtenen Verfügung) mit Ablauf der Rechtsmittelfrist rechtskräftig geworden. Die Instruktionsrichterin hatte mit Verfügung vom 21. Juli 2011 festgehalten, dass in der Beschwerde zwar auch der Wegweisungspunkt (Ziffer 3 des Dispositivs) angefochten worden war, die Wegweisung als solche praxisgemäss aber nur aufgehoben werden könne, wenn eine Aufenthaltsbewilligung vorliege oder ein Anspruch auf Erteilung einer solchen bestehe. Da dies aber nicht der Fall sei, sei das Rechtsbegehren, auch unter Berücksichtigung der Beschwerdebegründung, als auf den Vollzugspunkt beschränkt zu betrachten. Gegenstand des Beschwerdeverfahrens bil­det somit einzig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w:t>
      </w:r>
    </w:p>
    <w:p>
      <w:r>
        <w:t>In formeller Hinsicht macht der Beschwerdeführer geltend, dass eine Verletzung der Begründungspflicht vorliege, da in der ange­fochtenen Verfügung ohne ausreichende Begründung von der langjähri­gen Praxis des Bundesverwaltungsgerichts abgewichen werde. Zudem habe es die Vorinstanz unter­lassen, die relevanten Herkunftsländerinformationen, auf wel­che sie ihren Entscheid stütze, offenzulegen. Daher sei die angefochtene Verfügung im Ausmass der Anfechtung zur Neubeurtei­lung der Sache an das BFM zurückzuweisen.</w:t>
      </w:r>
    </w:p>
    <w:p>
      <w:r>
        <w:rPr>
          <w:b/>
        </w:rPr>
        <w:t>E. 4.2</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w:t>
      </w:r>
    </w:p>
    <w:p>
      <w:r>
        <w:rPr>
          <w:b/>
        </w:rPr>
        <w:t>E. 4.3</w:t>
      </w:r>
    </w:p>
    <w:p>
      <w:r>
        <w:t>Bezüglich der Rüge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rela­tiv kurz nach Erlass der angefochtenen Verfügung in seinem Urteil E-6220/2006 vom 27. Oktober 2011 (vgl. BVGE 2011/24) zur aktuellen Situa­tion in Sri Lanka geäussert und eine Anpassung seiner in BVGE 2008/2 publizierten Praxis vorgenommen, welche mit derjenigen des BFM im Ergebnis weitgehend übereinstimmt. In­wiefern das BFM mit seinem Vorgehen die Begründungspflicht verletzt ha­ben soll, ist in Anbetracht der insgesamt ausgewogenen und differenzier­ten Erwägungen in der angefochtenen Verfügung ohnehin nicht ersichtlich.</w:t>
      </w:r>
    </w:p>
    <w:p>
      <w:r>
        <w:rPr>
          <w:b/>
        </w:rPr>
        <w:t>E. 4.4</w:t>
      </w:r>
    </w:p>
    <w:p>
      <w:r>
        <w:t>Bezüglich des Antrags des Beschwerdeführers, ihm alle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Hinsichtlich der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4.5</w:t>
      </w:r>
    </w:p>
    <w:p>
      <w:r>
        <w:t>Hinsichtlich der in der Verfügung erwähnten Dienstreise des BFM vom September 2010 ist festzuhalten, dass in der Verfügung zwar ein ausdrücklicher Hinweis auf den konkreten Dienstreisebericht fehlt, aber das BFM andeutet, dass es sich bei seiner Praxisänderung in Bezug auf die Durchführbarkeit des Wegweisungsvollzuges nach Sri Lanka unter anderem auf die Erkenntnisse der Ergebnisse der Dienstreise stütze. Da damit in entscheidwesentlicher Weise die Informationen aus der Dienstreise herangezogen werden, war das BFM gehalten, dem Beschwerdeführer diese Ergebnisse offenzulegen. Das vom Beschwerdeführer am 1. Juli 2011 gestellte Akteneinsichtsgesuch, mit welchem sinngemäss auch Einsicht in die Ergebnisse der Dienstreise beantragt wurde, hat das BFM allerdings mit Schreiben vom 4. Juli 2011 abgelehnt. Zwar hat es in seiner Vernehmlassung vom 15. November 2012 angekündigt, es sei auf explizite Anweisung des Gerichts bereit, die vom 22. Dezember 2011 datierende Zusammenfassung der Ergebnisse der (im September 2010 durchgeführten) Dienstreise nach Sri Lanka freizugeben. Allerdings ist die Replik vom 4. Dezember 2012 so zu verstehen, dass der Rechtsvertreter auf eine Offenlegung des Dienstreiseberichtes im vorliegenden Verfahren verzichtet, da er bereits aus dem Verfahren D-3902/2011 Kenntnis vom Bericht hat. Die Stellungnahme vom 22. Dezember 2011 zum Dienstreise-Bericht, in welcher die Erkenntnisse des BFM in Frage gestellt werden, wird vorliegend wunschgemäss zu den Akten genommen. Durch die Kenntnisnahme im Verfahren D-3902/2011 und die zu den Akten genommenen Stellungnahme zum Dienstreisebericht wurde dem Anspruch des Beschwerdeführers auf rechtliches Gehör, soweit die­ser als verletzt zu erkennen war, im Rahmen des Instruktionsverfah­rens in ausreichender Weise Genüge getan worden. Der genannte Ver­fahrens­mangel ist demnach als geheilt zu erachten.</w:t>
      </w:r>
    </w:p>
    <w:p>
      <w:r>
        <w:rPr>
          <w:b/>
        </w:rPr>
        <w:t>E. 4.6</w:t>
      </w:r>
    </w:p>
    <w:p>
      <w:r>
        <w:t>Bei dieser Sachlage besteht somit keine Veranlassung, die angefoch­tene Verfügung aus formellen Gründen aufzuheben, weshalb das Begeh­ren des Beschwerdeführers, der Entscheid vom 17. Juni 2011 sei in den Dispositivpunkten 3, 4 und 5 (recte: 4 und 5) aufzuheben und zur Neubeur­teilung der Sache an das BFM zurückzuweisen, abzuweisen ist. Der festgestellte Verfahrensmangel wird indessen im Kosten- und Entschä­digungspunkt zu berücksichtigen sein.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BVGE 2011/24 E.10.2.).</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6.4</w:t>
      </w:r>
    </w:p>
    <w:p>
      <w:r>
        <w:t>Das Bundesverwaltungsgericht nahm in BVGE 2011/24 zur Frage der Gefährdung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6.5</w:t>
      </w:r>
    </w:p>
    <w:p>
      <w:r>
        <w:t>Eine entsprechende konkrete Gefahr, die dem Beschwerdeführer dro­hen könnte, ist jedoch nicht ersichtlich. Es wurde bereits rechts­kräftig festgestellt, dass die angebliche Verfolgung durch die Sicherheitskräfte widersprüchlich, erfahrungswidrig und substanzlos, mithin unglaubhaft gemäss Art. 7 AsylG ist. Beispielsweise widersprach sich der Beschwerdeführer hinsichtlich des Zeitpunkts der Passaustellung (Ende April 2010 oder November 2009, vgl. act. A1, S. 4; A17, S. 3) und der Frage, ob er bei der Ausreise für Italien ein Visum gehabt habe (vgl. act. A1, S. 7; A17, S. 3). Auch hinsichtlich des Zeitpunktes der Festnahme liegen Widersprüche vor, so ist es zuerst der 27. März 2007, dann der 17. März 2007 (vgl. act. A1, S. 6; A17, S. 5), die Schilderung der Haft erscheint unsubstantiiert und emotionslos (vgl. act. A17, S. 6, 7). Auch unterscheiden sich in den Befragungen die Angaben zu den Zeitpunkten, wann nach dem Beschwerdeführer gesucht worden sei (vgl. act. A1, S. 6; A17, S. 8, 9). Überdies stellt die Vorinstanz zu Recht fest, dass es unlogisch erscheint, dass sich die Soldaten nicht mittels Hausdurchsuchung vergewissert hätten, ob die Angabe des Vaters des Beschwerdeführers, wonach dieser nicht zu Hause sei, zutreffend gewesen sei oder nicht (vgl. act. A17, S. 9). Der Asylpunkt blieb durch den Beschwerdeführer unan­gefochten. Ferner lässt sich auch den Akten, bis auf den behaupteten 2006 abgebrochenen Kontakt zu einem den LTTE angehörenden Cousin, den er aber in der Bundesanhörung erst auf Nachfrage erwähnt (vgl. act. A1, S. 5; A17, S. 8), nicht entnehmen, dass er zu LTTE-Mitgliedern in engem Kontakt stand. In der Beschwerde wird noch ein zweiter, vorher unerwähnter Cousin bei den LTTE genannt, allerdings ohne Angaben dazu, ob er zu diesem in engem Kontakt stand. Namhafte eigene diesbezügliche Aktivitäten macht er nicht geltend, lediglich die Demonstrationen zu Schulzeiten. Ein allfälliges Risikoprofil des Beschwerdeführers ist somit nicht ersichtlich, eine relevante Gefährdung im ak­tuellen Zeitpunkt im Hinblick auf die Zulässigkeit des Vollzugs konnte er demnach nicht glaubhaft machen. Auch im Übrigen lassen sich den Akten keine konkreten Hin­weise auf eine drohende menschenrechtswid­rige Behandlung des Beschwer­de­führers wegen ihm unterstellter LTTE-Nähe entnehmen. Dass bei abgewiesenen Asylsuchen­den bei der Wiedereinreise eine gewisse Ge­fähr­dung im Sinne der Be­schwer­devor­bringen besteht, ist aufgrund der oben skizzierten Rechtsprechung des EGMR und anderer Quellen zwar nicht von der Hand zu weisen. Hinreichend konkrete Anhaltspunkte dafür, dass der Beschwerdeführer aufgrund seines Persönlichkeitsprofils bei der Wiedereinreise eine unzulässige Behandlung gewärtigen muss, be­stehen nach dem Gesagten indes nicht. So leben auch die Familienangehörigen weiter­hin in Sri Lanka, ohne dass der Beschwerdeführer behauptet hätte, sie seien aktuell ernsthaft gefährdet.</w:t>
      </w:r>
    </w:p>
    <w:p>
      <w:r>
        <w:rPr>
          <w:b/>
        </w:rPr>
        <w:t>E. 6.6</w:t>
      </w:r>
    </w:p>
    <w:p>
      <w:r>
        <w:t>Die allgemeine Menschenrechtssituation in Sri Lanka lässt den Weg­weisungsvollzug zum heutigen Zeitpunkt ebenfalls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Sri Lankas (d.h. aus den Provinzen North Central, North Western, Central, Western [namentlich der Grossraum Colombo], Southern, Sabarugamuwa und die Uva-Provinz) stammten und dorthin zu­rück­kehr­ten, sei der Wegweisungsvollzug grundsätzlich zumutbar (a.a.O. E.13.3). Der Beschwerdeführer macht geltend, aus B._______, C._______ (Jaffna-Halbinsel) zu stammen. Eine Rück­kehr dorthin ist nach neuer Rechtsprechung grundsätzlich als zu­mutbar zu betrachten, wobei aber eine sorgfältige, zu­rückhaltende Beur­teilung der individuellen Zumut­barkeitskriterien vorzuneh­men ist. Das bedeutet, dass den sozio-ökonomi­schen, den me­dizinischen Aspek­ten und auch dem zeitlichen Ele­ment gebührend Rech­nung zu tragen sind. Gemäss Aktenlage wohnen die Eltern, Geschwistern, Onkel und Tanten alle in B._______, C._______ (Jaffna-Halbinsel). Entfernte Verwandte leben in G._______ (Jaffna-Halbinsel) (vgl. act. A17, S. 2). Er hat einen höheren Schulabschluss gemacht und einen Multimediakurs absolviert und arbeitete bis zwei Wochen vor der Ausreise auf den grossen Feldern der Familie (vgl. act. A1, S. 2, 3). Mit der eigenen Landwirtschaft ist die Familie anscheinend nicht mittellos. In der Schweiz war der Beschwerdeführer im Gastronomiebereich erwerbstätig. Er ver­fügt in seinem Heimatstaat über ein familiäres Beziehungsnetz, wel­ches ihm eine sozi­ale und wirtschaftliche Wiedereingliederung ermögli­chen kann. Der Beschwerdeführer gibt zu Protokoll, seit der (allerdings für unglaubhaft befundenen, s.o.) Inhaftierung im F._______-Camp, bei welcher er misshandelt worden sei, Kopfschmerzen und Ohnmachtsanfälle zu haben (vgl. act. A1, S. 6). Die Bundesanhörung musste wegen Ohnmachtsanfällen unterbrochen werden, konnte dann aber fortgeführt werden (vgl. act. A17, S.3, 4 und Unterschriftenblatt der Hilfswerkvertretung). Trotz Aufforderung in der Bundesanhörung, der Beschwerdeführer möge wegen der Ohnmachtsanfälle einen Arzt konsultieren und dem BFM ein entsprechendes Arztzeugnis einreichen (vgl. act. A17, S.4), hat der Beschwerdeführer in der Folgezeit, auch auf Beschwerdeebene, kein Arztzeugnis eingereicht, was gegen einen gewissen Leidensdruck spricht. Es ist aber auch davon auszugehen, dass seine Ohnmachtsanfälle vor Ort im Bedarfs­fall behandelt werden könnten. Zudem könnte er al­lenfalls medizinische Rückkehrhilfe beantragen. Ins­gesamt ist demnach nicht davon auszugehen, er könnte vor Ort in eine existenzgefährdende Si­tuation geraten.</w:t>
      </w:r>
    </w:p>
    <w:p>
      <w:r>
        <w:rPr>
          <w:b/>
        </w:rPr>
        <w:t>E. 7.3</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 Es erübrigt sich, auf weitere Beschwerdevorbringen hin­sichtlich der allgemeinen Situation in Sri Lanka detaillierter einzugehen.</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Die Kosten des Verfahrens sind grundsätzlich dem unterliegenden Be­schwerdeführer aufzuerlegen (Art. 63 Abs. 1 und 5 VwVG). Indessen hat ihm die Vorinstanz erst auf Vernehmlassungsstufe angeboten, Einsicht in die Ergeb­nisse der Dienstreise des BFM nach Sri Lanka vom September 2010 zu gewähren, als er im Rahmen eines anderen Verfahrens dann bereits Kenntnis davon erlangt und daher auf eine Offenlegung in diesem Verfahren verzichtet hatte. Die vorherige fehlende Offenlegung des Dienstreiseberichtes wurde in der Beschwerde zu Recht als Verfahrens­mangel gerügt, dieser jedoch durch die Rechtsmittelinstanz ge­heilt.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 Angesichts dessen ist dem Beschwerdeführer schliess­lich trotz des Umstandes, wonach er im vorliegenden Beschwerde­verfahren mit seinen Rechtsbegehren letztlich nicht durchge­drungen ist, eine angemessene (reduzierte) Parteientschädigung für die ihm aus der Beschwerdeführung im Rahmen des festgestellten Verfahrens­mangels erwachsenen notwendigen Kosten zuzusprechen. Der Beschwerdeführer hat keine Kostennote einreichen lassen. Die Partei­entschädigung ist jedoch aufgrund des zuverlässig abschätzbaren Zeitaufwandes ihres Rechtsvertreters und der praxisgemässen Bemes­sungsfaktoren (Art. 16 Abs. 1 Bst. a VGG i.V.m. Art. 8, Art. 10 Abs. 2 und Art. 14 Abs. 2 VGKE) auf insgesamt Fr. 400.- (inklusive Auslagen und allfäl­lige Mehrwertsteuer) festzusetzen und vom BFM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