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D-4046/2015 vom 26. Juni 2017</w:t>
      </w:r>
    </w:p>
    <w:p>
      <w:r>
        <w:t>Bundesverwaltungsgericht, 2017-06-26, DE</w:t>
      </w:r>
    </w:p>
    <w:p>
      <w:r>
        <w:rPr>
          <w:b/>
        </w:rPr>
        <w:t xml:space="preserve">Quelle: </w:t>
      </w:r>
      <w:r>
        <w:t>https://mcp.opencaselaw.ch/entscheid/bvger_D-4046_2015</w:t>
      </w:r>
    </w:p>
    <w:p>
      <w:r>
        <w:t>FR: TAF D-4046/2015 du 26 juin 2017</w:t>
      </w:r>
    </w:p>
    <w:p>
      <w:r>
        <w:t>IT: TAF D-4046/2015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 Das Gesuch um Gewährung der unentgeltlichen Rechtspflege im Sinne von Art. 65 Abs. 1 VwVG wird somit gegenstandslos.</w:t>
      </w:r>
    </w:p>
    <w:p>
      <w:r>
        <w:rPr>
          <w:b/>
        </w:rPr>
        <w:t>E. 6</w:t>
      </w:r>
    </w:p>
    <w:p>
      <w:r>
        <w:t>Den obsiegenden und vertretenen Beschwerdeführerinnen ist zulasten der Vorinstanz eine Parteientschädigung für die ihnen erwachsenen notwendigen und verhältnismässig hohen Kosten zuzusprechen (Art. 64 Abs.1 VwVG i.V.m. Art. 7 des Reglements vom 21. Februar 2008 über die Kosten und Entschädigungen vor dem Bundesverwaltungsgericht [VGKE, SR 173.320.2]). Der Rechtsvertreter hat keine Kostennote eingereicht, so dass die Entschädigung aufgrund der Akten zu bestimmen und auf insgesamt Fr. 800.-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