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D-4046/2013 vom 19. Juli 2013</w:t>
      </w:r>
    </w:p>
    <w:p>
      <w:r>
        <w:t>Bundesverwaltungsgericht, 2013-07-19, DE</w:t>
      </w:r>
    </w:p>
    <w:p>
      <w:r>
        <w:rPr>
          <w:b/>
        </w:rPr>
        <w:t xml:space="preserve">Quelle: </w:t>
      </w:r>
      <w:r>
        <w:t>https://mcp.opencaselaw.ch/entscheid/bvger_D-4046_2013</w:t>
      </w:r>
    </w:p>
    <w:p>
      <w:r>
        <w:t>FR: TAF D-4046/2013 du 19 juillet 2013</w:t>
      </w:r>
    </w:p>
    <w:p>
      <w:r>
        <w:t>IT: TAF D-4046/2013 del 19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in der Regel - so auch vorliegend - endgültig (Art. 105 des Asylgesetzes vom 26. Juni 1998 [AsylG, SR 142.31]; Art. 83 Bst. d Ziff. 1 des Bundesgerichtsgesetzes vom 17. Juni 2005 [BGG, SR 173.110]).</w:t>
      </w:r>
    </w:p>
    <w:p>
      <w:r>
        <w:rPr>
          <w:b/>
        </w:rPr>
        <w:t>E. 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Beschwerdeführerin begründete ihr Gesuch damit, dass sie in Ru­mänien in einem Laboratorium gearbeitet habe. Eine Mitarbeiterin habe sie wegen ihrer neoprotestantischen Einstellung nicht gemocht und daher angefangen, ihr Gift zu verabreichen, wodurch sie erkrankt sei. Man habe am Arbeitsplatz Lügen über sie verbreitet, so dass sie von ihren Kolleginnen und Kollegen gemieden und schikaniert worden sei. Als Konsequenz habe sie ihre Stelle gekündigt und sei im März 2006 nach Spanien gegangen. Dort habe sie eine Anstellung gefunden. Als dann aber im Jahre 2007 eine Rumänin zu ihrem Team gestossen sei, sei wieder schlecht über sie geredet worden, und man habe erneut begonnen, ihr Substanzen zu verabreichen. Im Mai 2008 habe sich die Lage verschlimmert. Man habe ihr Telefon abgehört, sei in ihre Wohnung eingedrungen und habe dort Substanzen verstreut, die man ihr zudem weiterhin unter das Essen gemischt habe. Darüber hinaus sei sie elektromagnetisch bestrahlt worden. Schliesslich habe sie ihre Arbeitsstelle verloren, was wohl auf eine Intervention der Personen zurückzuführen sei, welche sie verfolgen würden. In der Folge habe sie keine Anstellung mehr gefunden. Sie habe sich regelmässig in Spanien und Rumänien aufgehalten, sei aber auch in Deutschland, England und Italien gewesen, wo sie sich ebenfalls um Arbeit bemüht habe. Überall sei sie auf Schritt und Tritt von diesen Personen verfolgt worden. Sie habe nicht mehr schlafen können und sich psychisch und physisch misshandelt gefühlt. Sie habe zwar nie eine dieser Personen gesehen, aber die Verfolgung dennoch unterschwellig wahrgenommen, indem sie beispielsweise auch gemerkt habe, dass einmal das Schloss ihrer Wohnung aufgebrochen worden sei. Sie gehe davon aus, dass es sich bei den Verfolgern um Angehörige des rumänischen Geheimdienstes oder einer anderen vom Staat gedeckten Organisation handle. Den Grund für die Verfolgung kenne sie jedoch nicht, da sie eine gesetzestreue Bürgerin sei. Sie habe sich an die rumänischen und spanischen Strafverfolgungsbehörden gewandt, welche ihr jedoch nicht geholfen hätten. Die verabreichten Substanzen und die Bestrahlung hätten sich stark auf ihre Gesundheit ausgewirkt, und sie leide an Eisen-, Vitamin- und Mineralienmangel, habe schlechte Blutwerte, Probleme mit dem Atmungsapparat und dem Magen und spüre regelmässig ein Brennen in den Schilddrüsen, den Bronchien, der Speiseröhre, im Gehirn oder in den Genitalien. Ausserdem seien ihr die Haare ausgefallen. Sie habe diese Probleme zwar mehrmals medizinisch abklären lassen, jedoch nie deren Ursprung feststellen können. Auch hier in der Schweiz sei sie vor Verfolgung nicht sicher. So habe sie diese Substanzen in ihrem Bett in der Asyl­unterkunft gefunden und habe das Gefühl, auch hier bestrahlt zu werden.</w:t>
      </w:r>
    </w:p>
    <w:p>
      <w:r>
        <w:rPr>
          <w:b/>
        </w:rPr>
        <w:t>E. 6.2</w:t>
      </w:r>
    </w:p>
    <w:p>
      <w:r>
        <w:t>Das BFM begründete seine Verfügung damit, die von der Beschwerdeführerin geschilderten Ereignisse seien wohl auf eine psychische Störung ihrer Wahrnehmung zurückzuführen. Objektiv betrachtet liessen sich keine Anhaltspunkte eruieren, die auf eine Verfolgung schliessen lassen würden. Es beständen insbesondere keine Hinweise dafür, dass der Geheimdienst ein Interesse an der Beschwerdeführerin haben könnte. Die Hilfe, welcher die Beschwerdeführerin bedürfe, könne eher im medizinisch-psychiatrischen Kontext als im Rahmen eines Asylverfahrens geleistet werden. An dieser Einschätzung vermöchten auch die Beweismittel nichts zu ändern, die ihr schlechte Blutwerte und Eisenmangel attestieren würden.</w:t>
      </w:r>
    </w:p>
    <w:p>
      <w:r>
        <w:rPr>
          <w:b/>
        </w:rPr>
        <w:t>E. 6.3</w:t>
      </w:r>
    </w:p>
    <w:p>
      <w:r>
        <w:t>In der Beschwerde wurde ausgeführt, dass die Vorinstanz der Beschwerdeführerin fälschlicherweise nicht geglaubt habe.</w:t>
      </w:r>
    </w:p>
    <w:p>
      <w:r>
        <w:rPr>
          <w:b/>
        </w:rPr>
        <w:t>E. 6.4</w:t>
      </w:r>
    </w:p>
    <w:p>
      <w:r>
        <w:t>Das Gericht schliesst sich den Ausführungen des Bundesamtes vollständig an. Die subjektive Wahrnehmung der Beschwerdeführerin findet keine Entsprechung in objektiven Vorkommnissen, so dass keine asylrelevante Verfolgungssituation vorliegt. Somit hat das BFM zu Recht die Flüchtlingseigenschaft der Beschwerdeführerin verneint und ihr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ist nicht im Besitze einer Aufenthalts- oder Niederlassungsbewilligung. Praxisgemäss wird eine Wegweisung auch dann nicht verfügt, wenn eine asylsuchende Person grundsätzlich über einen Anspruch auf Erteilung einer Aufenthaltsbewilligung verfügt und dies­bezüglich ein Gesuch bei der zuständigen kantonalen Ausländerbehör­de bereits hängig ist (vgl. Zusammenfassung der Rechtsprechung im Urteil D-2697/2009 vom 20. März 2012 E. 5.1.2.1 und 5.1.2.2). Die Beschwerdeführerin ist rumänischer Staatsangehörigkeit und daher Bürgerin der Europäischen Union, weshalb sie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w:t>
      </w:r>
    </w:p>
    <w:p>
      <w:r>
        <w:rPr>
          <w:b/>
        </w:rPr>
        <w:t>E. 7.3</w:t>
      </w:r>
    </w:p>
    <w:p>
      <w:r>
        <w:t>Allerdings steht diese Tatsache der Anordnung der Wegweisung vorliegend nicht entgegen, da sich aus dem Umstand, dass die Beschwerdeführerin bislang kein Gesuch um Erteilung einer Aufenthaltsbewilligung eingereicht hat, schliessen lässt, dass sie sich nicht aus einem der im Freizügigkeitsabkommen genannten Gründe in der Schweiz aufhält, sondern einzig zwecks Einreichung eines Asylgesuches in die Schweiz eingereist ist. Die Anordnung der Wegweisung aus der Schweiz ist demnach zu bestätigen.</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8.4</w:t>
      </w:r>
    </w:p>
    <w:p>
      <w:r>
        <w:t>Sodann ergeben sich weder aus den Aussagen der Beschwerde­füh­rerin noch aus den Akten Anhaltspunkte dafür, dass sie für den Fall einer Ausschaffung in den Heimatstaat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8.6</w:t>
      </w:r>
    </w:p>
    <w:p>
      <w:r>
        <w:t>In zutreffender Weise führte das BFM aus, dass die in Rumänien herr­schende allgemeine Lage nicht gegen die Zumutbarkeit der Rückführung spreche. Des Weiteren sind keine individuellen Vollzugshindernisse ersichtlich. Hinsichtlich des Gesundheitszustandes ist zu bemerken, dass Rumänien über ein funktionierendes Gesundheitswesen verfügt. Der Umstand, dass (...) eine Nachuntersuchung ihrer Unterleibsbeschwerden ([...]) anberaumt wurde, kann bei den Vollzugsmodalitäten Berücksichtigung finden. Was die psychische Verfas­sung der Beschwerdeführerin betrifft, ist anzumerken, dass die Beschwer­deführerin bisher in Abrede stellte, derartige Hilfe zu benötigen. Sollte sie zur gegenteiligen Einsicht kommen, so wäre eine psychologische Betreuung in Rumänien gewährleistet. Schliesslich kann den geäus­serten suizidalen Gedanken im Rahmen der Rückkehrvorbereitung genügend Rechnung getragen werden, so dass auch diese einem Vollzug nicht entgegenstehen. Nach dem Gesagten erweist sich der Vollzug der Wegweisung auch als zumutbar.</w:t>
      </w:r>
    </w:p>
    <w:p>
      <w:r>
        <w:rPr>
          <w:b/>
        </w:rPr>
        <w:t>E. 8.7</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8.8</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10.1</w:t>
      </w:r>
    </w:p>
    <w:p>
      <w:r>
        <w:t>Das mit der Beschwerde gestellte Gesuch um Gewährung der unentgeltlichen Rechtspflege im Sinne von Art. 65 Abs. 1 VwVG ist abzuweisen, da die Begehren - wie sich aus den vorstehenden Erwägungen ergibt - als aussichtlos zu bezeichnen waren, weshalb die Voraussetzungen für die Gewährung der unentgeltlichen Rechtspflege nicht erfüllt sind.</w:t>
      </w:r>
    </w:p>
    <w:p>
      <w:r>
        <w:rPr>
          <w:b/>
        </w:rPr>
        <w:t>E. 10.2</w:t>
      </w:r>
    </w:p>
    <w:p>
      <w:r>
        <w:t>Somit sind die Kosten des Verfahrens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