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D-4041/2013 vom 13. Februar 2014</w:t>
      </w:r>
    </w:p>
    <w:p>
      <w:r>
        <w:t>Bundesverwaltungsgericht, 2014-02-13, DE</w:t>
      </w:r>
    </w:p>
    <w:p>
      <w:r>
        <w:rPr>
          <w:b/>
        </w:rPr>
        <w:t xml:space="preserve">Quelle: </w:t>
      </w:r>
      <w:r>
        <w:t>https://mcp.opencaselaw.ch/entscheid/bvger_D-4041_2013</w:t>
      </w:r>
    </w:p>
    <w:p>
      <w:r>
        <w:t>FR: TAF D-4041/2013 du 13 février 2014</w:t>
      </w:r>
    </w:p>
    <w:p>
      <w:r>
        <w:t>IT: TAF D-4041/2013 del 13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1.4</w:t>
      </w:r>
    </w:p>
    <w:p>
      <w:r>
        <w:t>Die Beschwerde ist im Verfahren einzelrichterlicher Zuständigkeit mit Zu­stimmung eines zweiten Richters zu behandeln, weil sie sich im Ergeb­nis als offensichtlich begründet erweist (Art. 111 Bst. e AsylG), womit es sich auch rechtfertigt auf einen Schriftenwechsel zu verzichten (Art. 111a Abs. 1 AsylG).</w:t>
      </w:r>
    </w:p>
    <w:p>
      <w:r>
        <w:rPr>
          <w:b/>
        </w:rPr>
        <w:t>E. 2</w:t>
      </w:r>
    </w:p>
    <w:p>
      <w:r>
        <w:t>Mit Beschwerde kann die Verletzung von Bundesrecht (einschliesslich Miss­brauch und Überschreiten des Ermessens) und die unrichtige oder un­vollständige Feststellung des rechtserheblichen Sachverhalts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hatten und weggewiesen wurden (vgl. Medienmitteilung des BFM vom 4. September 2013: "Bundesamt hat Rückführungen nach Sri Lanka vorläufig ausgesetzt"). Die sri-lankischen Behörden hatten die tamilischen Rückkehrer bei der Wiedereinreise in Haft genommen. Daraufhin stellte die Vorinstanz in Aussicht,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waren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11. Juni 2013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einbezahlte Kostenvorschuss ist zurückzuerstatten.</w:t>
      </w:r>
    </w:p>
    <w:p>
      <w:r>
        <w:rPr>
          <w:b/>
        </w:rPr>
        <w:t>E. 4.2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4.3</w:t>
      </w:r>
    </w:p>
    <w:p>
      <w:r>
        <w:t>Der Rechtsvertreter des Beschwerdeführers hat keine Kostennote ein­gereicht. Der entstandene Vertretungsaufwand kann jedoch aufgrund der Akten zuverlässig abgeschätzt werden (Art. 14 Abs. 2 VGKE). Eine Viel­zahl der insgesamt 82 eingereichten Beweismittel (insbesondere Länder­berichte) weisen keinen individuellen Bezug zum Beschwerdeführer auf und haben für das Beschwerdeverfahren nur mittelbare Aussagekraft. Ferner sind weite Teile der Beschwerdebegründung und zahlreiche Beweismittel zur allgemeinen Lage in Sri Lanka in diversen vom mandatierten Rechtsvertreter geführten Beschwerdeverfahren in identischer Weise eingereicht worden. Im Übrigen ist der Inhalt der Eingaben teilweise redundant. Dem Beschwerdeführer ist zu Lasten des BFM unter Berücksichtigung der massgebenden Bemessungsfaktoren (Art. 9 - 13 VGKE) und der Entschädigungspraxis in vergleichbaren Fällen eine Parteientschädigung für den Aufwand seines Rechtsvertreters von insgesamt Fr. 2'000.-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