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D-4038/2006 vom 4. April 2007</w:t>
      </w:r>
    </w:p>
    <w:p>
      <w:r>
        <w:t>Bundesverwaltungsgericht, 2007-04-04, FR</w:t>
      </w:r>
    </w:p>
    <w:p>
      <w:r>
        <w:rPr>
          <w:b/>
        </w:rPr>
        <w:t xml:space="preserve">Quelle: </w:t>
      </w:r>
      <w:r>
        <w:t>https://mcp.opencaselaw.ch/entscheid/bvger_D-4038_2006</w:t>
      </w:r>
    </w:p>
    <w:p>
      <w:r>
        <w:t>FR: TAF D-4038/2006 du 4 avril 2007</w:t>
      </w:r>
    </w:p>
    <w:p>
      <w:r>
        <w:t>IT: TAF D-4038/2006 del 4 aprile 2007</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1er janvier 2007 sont traités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recourants ont qualité pour recourir (cf. art. 48 al. 1 let. c PA, applicable par renvoi de l'art. 37 LTAF).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à l'instar de l'autorité de première instance, que les motifs d'asile allégués par les recourants ne sont pas vraisemblables. En effet, l'intéressé a affirmé avoir été arrêté en 1998 par l'Asaish, avoir été libéré peu de temps après et, depuis lors, avoir été régulièrement menacé de représailles s'il ne cessait pas ses activités en faveur du PKK. Il a soutenu qu'en dépit des avertissements répétés qu'il recevait de la part des agents de l'UPK, lesquels auraient même établi des rapports à son sujet (cf. pv de son audition cantonale p. 6), il avait continué à accueillir à son domicile des réunions de membres du PKK et à distribuer de la propagande pour cette organisation dans le cercle de ses connaissances (cf. ibidem p. 8s.). Or, si le recourant avait poursuivi ses activités en faveur du PKK après avoir été libéré et en dépit des avertissements qui lui étaient régulièrement donnés, il n'aurait assurément pas pu continuer son activité professionnelle dans une administration communale gérée par l'UPK, quand bien même celle-ci était de moindre importance. Pour les mêmes raisons, il est manifestement invraisemblable que les agents de l'UPK aient laissé l'intéressé poursuivre son soutien au PKK durant plus deux ans, surtout s'il avait été libéré en 1998 contre la promesse de cesser toute collaboration avec des membres de cette organisation sous peine d'engager la responsabilité de son ami O. A. (cf. copie de la déclaration de libération sous caution datée du 25 avril 1998) et si, de surcroît, il demeurait sourd à leurs avertissements et menaces. Par ailleurs, il n'est guère crédible que le prénommé, quand bien même était-il un membre relativement important de l'UPK (cf. pv de l'audition au CERA du recourant p. 5), ait eu connaissance de l'arrestation imminente du recourant. En effet, dès lors que O. A. était un ami de longue date de celui-ci, qu'il s'était porté garant de lui en 1998 et que sa propre responsabilité pouvait être de ce fait engagée dans cette affaire, les dirigeants de l'UPK auraient manifestement veillé à ce qu'il ne soit pas mis au courant des démarches entreprises pour l'arrêter. Il est par conséquent encore moins vraisemblable qu'il ait pu obtenir une copie du mandat d'arrêt émis au nom de l'intéressé.</w:t>
      </w:r>
    </w:p>
    <w:p>
      <w:r>
        <w:rPr>
          <w:b/>
        </w:rPr>
        <w:t>E. 3.2</w:t>
      </w:r>
    </w:p>
    <w:p>
      <w:r>
        <w:t>En outre, aucune des pièces versées en cause ne permet de rendre crédible les allégations des recourants. Comme l'a relevé l'autorité de première instance, le mandat d'arrêt émis au nom de l'intéressé n'a aucune valeur probante dès lors qu'il a été produit sous forme de copie. Au demeurant, il est singulier de constater que ce document n'indique pas le motif pour lequel il a été émis et ne comporte aucune précision concernant l'individu à arrêter, telle que notamment l'adresse de son domicile, sa date de naissance ou sa filiation, afin de faciliter les recherches et éviter une éventuelle erreur sur la personne. De plus, il est daté du 20 juin 2000 et requiert des autorités de C. l'arrestation de l'intéressé « le plus tôt possible ». Il n'est dès lors pas plausible que la recourante et ses enfants aient pu quitter le domicile familial cinq jours plus tard (cf. pv de l'audition cantonale de l'intéressée p. 2) sans que les autorités ne soient entre-temps intervenues pour rechercher et arrêter son mari. Dans ces conditions, le Tribunal estime superflu de requérir une analyse externe de l'authenticité de ce document. Par ailleurs, la déclaration de libération sous caution datée du 25 avril 1998, produite également en copie, n'est pas de nature à rendre crédibles les événements de juin 2000, à l'origine du départ des recourants d'Irak. Quant au témoignage que O. A. a transmis à ceux-ci par télécopie et qui confirme leurs motifs de fuite, il a une valeur probante toute relative, dans la mesure où un risque de collusion entre cette personne et les intéressés ne peut être écarté et compte tenu du fait que l'indicatif téléphonique international utilisé pour transmettre cette pièce n'est pas celui de l'Irak. Enfin, les autres documents produits, à savoir les cartes d'identité, les cartes syndicales et les cartes professionnelles ne sont pas non plus propres à établir les motifs d'asile allégués par les recourants.</w:t>
      </w:r>
    </w:p>
    <w:p>
      <w:r>
        <w:rPr>
          <w:b/>
        </w:rPr>
        <w:t>E. 3.3</w:t>
      </w:r>
    </w:p>
    <w:p>
      <w:r>
        <w:t>Indépendamment de ce qui précède, le Tribunal relève qu'aucune des sources consultées, en particulier celles émanant d'organisations de protection des droits de l'homme, n'indique que les membres ou sympathisants du PKK se trouvant en Irak seraient arrêtés, emprisonnés ou victimes de mauvais traitements.</w:t>
      </w:r>
    </w:p>
    <w:p>
      <w:r>
        <w:rPr>
          <w:b/>
        </w:rPr>
        <w:t>E. 3.4</w:t>
      </w:r>
    </w:p>
    <w:p>
      <w:r>
        <w:t>Il s'ensuit que le recours doit être rejeté sous l'angle de l'asile.</w:t>
      </w:r>
    </w:p>
    <w:p>
      <w:r>
        <w:rPr>
          <w:b/>
        </w:rPr>
        <w:t>E. 4</w:t>
      </w:r>
    </w:p>
    <w:p>
      <w:r>
        <w:t>Il doit également l'être en tant qu'il conteste le renvoi des recourants de Suisse. En effet, aucune des conditions de l'art. 32 de l'ordonnance 1 du 11 août 1999 sur l'asile relative à la procédure (OA 1, RS 142.311) et de la jurisprudence y afférant (cf. JICRA 2004 n° 10 p. 64ss) n'étant remplie en l'espèce, en l'absence en particulier d'un droit à une autorisation de séjour, le Tribunal est tenu de confirmer ce prononcé (art. 44 al. 1 LAsi).</w:t>
      </w:r>
    </w:p>
    <w:p>
      <w:r>
        <w:rPr>
          <w:b/>
        </w:rPr>
        <w:t>E. 5</w:t>
      </w:r>
    </w:p>
    <w:p>
      <w:r>
        <w:t>Vu l'issue du recours, et dans la mesure où les demandes d'assistance judiciaire totale et partielle ont été rejetées par décisions incidentes du 19 décembre 2005, il y a lieu de mettre les frais de procédure à la charge des recourants (art. 63 al. 1 PA et art.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