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D-4035/2009 vom 6. Januar 2010</w:t>
      </w:r>
    </w:p>
    <w:p>
      <w:r>
        <w:t>Bundesverwaltungsgericht, 2010-01-06, DE</w:t>
      </w:r>
    </w:p>
    <w:p>
      <w:r>
        <w:rPr>
          <w:b/>
        </w:rPr>
        <w:t xml:space="preserve">Quelle: </w:t>
      </w:r>
      <w:r>
        <w:t>https://mcp.opencaselaw.ch/entscheid/bvger_D-4035_2009</w:t>
      </w:r>
    </w:p>
    <w:p>
      <w:r>
        <w:t>FR: TAF D-4035/2009 du 6 janvier 2010</w:t>
      </w:r>
    </w:p>
    <w:p>
      <w:r>
        <w:t>IT: TAF D-4035/2009 del 6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Rechtsmitteleingabe vom 23. Juni 2009 sind nicht geeignet, eine Änderung der vorinstanzlichen Verfügung zu bewirken. Der Argumentation des BFM werden keine stichhaltigen und substanziierten Gründe entgegengesetzt. Eine diesbezügliche Auseinandersetzung unterbleibt zwar nicht grundsätzlich. Die Ausführungen der Beschwerdeführerin vermögen jedoch die substanziiert vorgebrachten und einwandfrei nachvollziehbaren Erwägungen des BFM nicht umzustossen. Für das Bundesverwaltungsgericht besteht nach Überprüfung der Akten keine Veranlassung, die Erwägungen des BFM zu beanstanden. Um Wiederholungen zu vermeiden, kann daher auf die diesbezüglich zutreffenden Ausführungen in der angefochtenen Verfügung verwiesen werden. Ausserdem wurde bereits mit Zwischenverfügung vom 2. Juli 2009 festgehalten, dass sich im vorliegenden Fall weitere Abklärungen um so mehr erübrigen dürften, als die Beschwerdeführerin selbst angegeben habe, sie sei nie im Gefängnis gewesen und habe sich weder für eine Organisation noch für eine Partei eingesetzt (vgl. Zwischenverfügung vom 2. Juli 2009, S. 5). Nach dem Gesagten erfüllt die Beschwerdeführerin die Flüchtlingseigenschaft gemäss Art. 3 AsylG nicht.</w:t>
      </w:r>
    </w:p>
    <w:p>
      <w:r>
        <w:rPr>
          <w:b/>
        </w:rPr>
        <w:t>E. 5.2</w:t>
      </w:r>
    </w:p>
    <w:p>
      <w:r>
        <w:t>Aufgrund der vorstehenden Erwägungen erübrigt es sich, auf die weiteren Ausführungen in der Eingabe der Beschwerdeführerin im Einzelnen einzugehen, da sie am Ergebnis der vorgenommenen Würdigung nichts zu ändern vermögen. Das Bundesamt hat das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Weder die politische noch die humanitäre Lage in der Türkei sprechen gegen die Zumutbarkeit des Wegweisungsvollzugs. Die Beschwerdeführerin verfügt über eine gute Schulbildung, hat in ihrer Heimat bereits Berufserfahrungen gesammelt und verfügt dort ihren eigenen Aussagen zufolge über ein soziales Netz, welches ihr bei einer Reintegration, soweit erforderlich, behilflich sein kann. Nach dem Gesagten erweist sich Vollzug der Wegweisung somit auch als zumutbar.</w:t>
      </w:r>
    </w:p>
    <w:p>
      <w:r>
        <w:rPr>
          <w:b/>
        </w:rPr>
        <w:t>E. 7.6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und mit dem am 16. Juli 2009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