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D-4031/2024 vom 27. Mai 2024</w:t>
      </w:r>
    </w:p>
    <w:p>
      <w:r>
        <w:t>Bundesverwaltungsgericht, 2024-05-27, DE</w:t>
      </w:r>
    </w:p>
    <w:p>
      <w:r>
        <w:rPr>
          <w:b/>
        </w:rPr>
        <w:t xml:space="preserve">Quelle: </w:t>
      </w:r>
      <w:r>
        <w:t>https://mcp.opencaselaw.ch/entscheid/bvger_D-4031_2024_d20240527</w:t>
      </w:r>
    </w:p>
    <w:p>
      <w:r>
        <w:t>FR: TAF D-4031/2024 du 27 mai 2024</w:t>
      </w:r>
    </w:p>
    <w:p>
      <w:r>
        <w:t>IT: TAF D-4031/2024 del 27 maggio 2024</w:t>
      </w:r>
    </w:p>
    <w:p>
      <w:pPr>
        <w:pStyle w:val="Heading2"/>
      </w:pPr>
      <w:r>
        <w:t>Regeste</w:t>
      </w:r>
    </w:p>
    <w:p>
      <w:r>
        <w:t>Asyl und Wegweisung | Asyl und Wegweisung; Verfügung des SEM vom 27. Mai 2024</w:t>
      </w:r>
    </w:p>
    <w:p>
      <w:pPr>
        <w:pStyle w:val="Heading2"/>
      </w:pPr>
      <w:r>
        <w:t>Volltext</w:t>
      </w:r>
    </w:p>
    <w:p>
      <w:r>
        <w:t>Bundesverwal tungsgeri cht T ri bunal admi ni strati f fédéral T ri bunal e amm ini strati vo federal e T ri bunal admi ni strati v federal</w:t>
      </w:r>
    </w:p>
    <w:p>
      <w:r>
        <w:t>Abteilung IV D-4031/2024</w:t>
      </w:r>
    </w:p>
    <w:p>
      <w:r>
        <w:t>U r t e i l v o m 2 6 . N o v e m b e r 2 0 2 4 Besetzung Einzelrichter Simon Thurnheer, mit Zustimmung von Richter Manuel Borla; Gerichtsschreiberin Leslie Werne. Parteien A._______, geboren am (…), Türkei, vertreten durch (…), (…), Beschwerdeführer,</w:t>
      </w:r>
    </w:p>
    <w:p>
      <w:r>
        <w:t>gegen Staatssekretariat für Migration (SEM), Quellenweg 6, 3003 Bern, Vorinstanz. Gegenstand Asyl und Wegweisung; Verfügung des SEM vom 27. Mai 2024 / N (…).</w:t>
      </w:r>
    </w:p>
    <w:p>
      <w:r>
        <w:t>D-4031/2024 Seite 2 Das Bundesverwaltungsgericht stellt fest, dass der Beschwerdeführer am 17. Mai 2023 in der Schweiz um Asyl nach- suchte, dass er am 11. September 2023 zu seinen Gesuchsgründen angehört wurde, dass er geltend machte, er sei türkischer Staatsangehöriger kurdischer Ethnie und habe vor seiner Ausreise in B._______ gelebt, wo er in der Baubranche und in der Textilindustrie tätig gewesen sei, dass er zur Begründung seines Asylgesuchs im Wesentlichen geltend machte, er setze sich seit seiner Jugend für die Halkların Demokratik Par- tisi (HDP) ein und sei im Jahr 2012 unter falschen Vorwänden rechtskräftig wegen Körperverletzung verurteilt worden, dass er sich nach seiner Haftentlassung im Jahr 2014 weiter für die Partei engagiert habe, weshalb nunmehr ein Festnahmebefehl gegen ihn erlas- sen worden sei, dass die Vorinstanz mit Verfügung vom 27. Mai 2024 – frühestens tags da- rauf eröffnet – die Flüchtlingseigenschaft des Beschwerdeführers ver- neinte, sein Asylgesuch ablehnte und die Wegweisung aus der Schweiz sowie den Vollzug anordnete, dass der Beschwerdeführer durch seine Rechtsvertretung mit Eingabe vom 26. Juni 2024 gegen diese Verfügung Beschwerde beim Bundesver- waltungsgericht erhob und beantragte, die angefochtene Verfügung sei aufzuheben, seine Flüchtlingseigenschaft festzustellen und ihm Asyl zu ge- währen, dass er eventualiter vorläufig aufzunehmen sei, dass er in verfahrensrechtlicher Hinsicht um Verzicht auf die Erhebung ei- nes Kostenvorschusses ersuchte, dass der Instruktionsrichter das Gesuch um Verzicht auf die Erhebung ei- nes Prozesskostenvorschusses mit Zwischenverfügung vom 28. Oktober 2024 abwies und den Beschwerdeführer zur Bezahlung eines solchen auf- forderte, dass der Beschwerdeführer dem innert Frist nachkam,</w:t>
      </w:r>
    </w:p>
    <w:p>
      <w:r>
        <w:t>D-4031/2024 Seite 3 und zieht in Erwägung, dass das Bundesverwaltungsgericht auf dem Gebiet des Asyls – in der Re- gel und auch vorliegend – endgültig über Beschwerden gegen Verfügun- 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Vorinstanz in ihrer Verfügung zu Recht zu der Erkenntnis gelangt, die Vorbringen des Beschwerdeführers hielten weder den Anforderungen an die Flüchtlingseigenschaft noch jenen an die Glaubhaftigkeit stand, dass dem in der Beschwerde, die sich weitestgehend auf Wiederholungen des bereits bekannten Sachverhalts sowie wortwörtliche Wiedergaben des</w:t>
      </w:r>
    </w:p>
    <w:p>
      <w:r>
        <w:t>D-4031/2024 Seite 4 Anhörungsprotokolls beschränkt, nichts Stichhaltiges entgegengehalten wird, dass festzustellen ist, das geltend gemachte Strafverfahren des Beschwer- deführers wegen Körperverletzung sei bereits vor rund zwölf Jahren rechts- kräftig abgeschlossen worden (vgl. A16/18 F48 und A20/5), womit es of- fensichtlich an einem zeitlichen Kausalzusammenhang zur Ausreise des Beschwerdeführers im Mai 2023 mangelt, dass auch die geltend gemachten Diskriminierungen des Beschwerde- führers in der Türkei, welchen er insbesondere während seines Militär- dienstes und bei Polizeikontrollen ausgesetzt gewesen sei (vgl. A16/18 F48 und F77 f.), mangels Intensität nicht über die Nachteile hinaus gehen, die weite Teile der kurdischen Bevölkerung treffen können, womit sie man- gels Gezieltheit nicht als im Sinne des Gesetzes ernsthaft zu qualifizieren sind, dass entgegen der wiederholt in der Beschwerdeschrift geäusserten Be- hauptung auch kaum davon auszugehen ist, der Beschwerdeführer habe unter einem unerträglichen psychischen Druck im Sinne von Art. 3 Abs. 2 AsylG gestanden, zumal dies abgesehen von einem pauschalen Verweis auf die durch Sicherheitsbehörden angeblich erlittenen Schikanen nicht weiter substantiiert wird, dass die behaupteten politischen Aktivitäten des Beschwerdeführers in der Türkei unbelegt sind und die diesbezüglich zu den Akten gereichten unda- tierten Fotografien unbehelflich sind, da sie keinen Aufschluss darüber ge- ben, wann respektive wo sie aufgenommen wurden (vgl. BM3), dass begründete Zweifel an der tatsächlichen Existenz der nunmehr gel- tend gemachten Strafverfahren gegen den Beschwerdeführer bestehen, nachdem er sich diesbezüglich lediglich substanzarm zu äussern ver- mochte und zum Inhalt der in diesem Zusammenhang zu den Akten ge- reichten Beweismittel kaum respektive lediglich ausweichend Auskunft ge- ben konnte (vgl. A16/18 F48 und F111 ff.), dass aufgrund des sich bei den Akten befindenden Antragsformulars, wel- ches vom Tag der Asylgesuchstellung in der Schweiz datiert (vgl. BM1), davon auszugehen ist, der Beschwerdeführer sei vor seiner Ausreise nicht Mitglied der HDP gewesen, dass sein Erklärungsversuch, die türkische Polizei habe sich über sein Mo- biltelefon in e-Devlet eingeloggt und seine bereits seit Jahren bestehende</w:t>
      </w:r>
    </w:p>
    <w:p>
      <w:r>
        <w:t>D-4031/2024 Seite 5 Parteimitgliedschaft gelöscht (vgl. A16/18 F88 f.), eine unplausible Mut- massung darstellt und damit nicht zu überzeugen vermag, dass das in diesem Zusammenhang als Fotografie zu den Akten gereichte sieben Zeilen umfassende Referenzschreiben der HDP sowie jenes eines türkischen Anwalts (vgl. BM2 und BM8) daran nichts zu ändern vermag, zumal diese Schreiben als reine Gefälligkeitsschreiben zu qualifizieren sind und dementsprechend kaum Beweiswert aufweisen, dass diese maschinell erstellten Referenzschreiben aufgrund einer frap- pierenden Ähnlichkeit in Aufbau und Schrift denn auch Grund zur Annahme geben, es handle sich um Fälschungen, dass für das auf Beschwerdeebene eingereichte undatierte Schreiben ei- nes kurdischen Gesellschaftszentrums in der Schweiz (vgl. Beschwerde- beilage 5) gleiches gilt, dass auch die im vorinstanzlichen Verfahren lediglich in Kopie zu den Akten gereichten Beweismittel, welche behauptungsweise ein in der Türkei hän- giges Strafverfahren gegen den Beschwerdeführer betreffen (vgl. BM7), mangels Fälschungssicherheit kaum Beweiswert aufweisen, zumal allge- mein bekannt ist, dass solche Dokumente in der Türkei leicht käuflich er- werbbar sind (vgl. statt vieler Urteile des BVGer D-5807/2024 vom 25. Sep- tember 2024, E-3879/2024 vom 10. Juli 2024, D-1438/2024 vom 3. Juli 2024), dass, sofern der Beschwerdeführer durch die pauschale Behauptung in der Rechtsmitteleingabe, er entstamme einer politisch aktiven Familie, eine Reflexverfolgung geltend macht, diese ebenfalls zu verneinen ist, zumal er diesbezüglich weder konkret erlittene Nachteile geltend macht noch dar- legt, inwiefern sich seine nicht näher bezeichneten Verwandten engagiert hätten, dass es dem Beschwerdeführer somit nicht gelingt, die Flüchtlingseigen- schaft nachzuweisen oder zumindest glaubhaft zu machen, weshalb die Vorinstanz sein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w:t>
      </w:r>
    </w:p>
    <w:p>
      <w:r>
        <w:t>D-4031/2024 Seite 6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 schwerdeführers noch individuelle Gründe auf eine konkrete Gefährdung im Falle einer Rückkehr schliessen lassen, dass der Beschwerdeführer eine gute sowie vielseitige Berufserfahrung aufweist und im Heimatstaat über ein grosses familiäres Beziehungsnetz verfügt (vgl. A16/18 F2 f., F16, F18 und F25 ff.), weshalb davon auszuge- hen ist, er werde sich sowohl in beruflicher als auch sozialer Hinsicht schnell reintegrieren können, dass die auf Beschwerdeebene erstmals geltend gemachten psychischen Leiden des Beschwerdeführers mangels entsprechender ärztlicher Diag- nosen unbelegt sind und folglich dem Vollzug der Wegweisung ebenfalls nicht entgegenstehen,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w:t>
      </w:r>
    </w:p>
    <w:p>
      <w:r>
        <w:t>D-4031/2024 Seite 7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D-4031/2024 Seite 8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