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D-4029/2014 vom 3. Juni 2015</w:t>
      </w:r>
    </w:p>
    <w:p>
      <w:r>
        <w:t>Bundesverwaltungsgericht, 2015-06-03, DE</w:t>
      </w:r>
    </w:p>
    <w:p>
      <w:r>
        <w:rPr>
          <w:b/>
        </w:rPr>
        <w:t xml:space="preserve">Quelle: </w:t>
      </w:r>
      <w:r>
        <w:t>https://mcp.opencaselaw.ch/entscheid/bvger_D-4029_2014</w:t>
      </w:r>
    </w:p>
    <w:p>
      <w:r>
        <w:t>FR: TAF D-4029/2014 du 3 juin 2015</w:t>
      </w:r>
    </w:p>
    <w:p>
      <w:r>
        <w:t>IT: TAF D-4029/2014 del 3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(vgl. zum Ganzen BVGE 2012/21 E. 5.1 und BVGE 2009/50 E. 10.2 je mit weiteren Hinweisen).</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 je mit weiteren Hinweisen).</w:t>
      </w:r>
    </w:p>
    <w:p>
      <w:r>
        <w:rPr>
          <w:b/>
        </w:rPr>
        <w:t>E. 4.1</w:t>
      </w:r>
    </w:p>
    <w:p>
      <w:r>
        <w:t>Zur Begründung ihrer Verfügung hielt die Vorinstanz im Wesentlichen fest, die Beschwerdeführerin habe nicht glaubhaft machen können, dass sie aus dem Dorf B._______, Gemeinde D._______, Bezirk E._______, Präfektur F._______, Tibet stamme, weshalb nicht von einer Herkunft aus China und auch nicht von einer Staatsangehörigkeit dieses Landes sowie einer illegalen Ausreise auszugehen sei. Zunächst seien bereits durch die Tatsache, dass sie keinerlei Identitätsdokumente eingereicht habe, höchste Zweifel an ihrer Identität gegeben. Diese Zweifel würden genährt durch ihre äusserst unpräzisen und teilweise falschen Angaben zur ihrer Herkunftsregion. So existiere die Gemeinde, aus welcher sie stammen wolle, in E._______ nicht. Von den vier anderen genannten Gemeinden sei lediglich eine richtig, bei den übrigen handle es sich entweder um Dörfer oder sie seien nicht auffindbar. Zudem mute es seltsam an, dass sie die chinesische Bezeichnung der Gemeinden nicht kenne. Gefragt nach den Bergen in der Umgebung, habe sie zu Protokoll gegeben, sie würden sie einfach Berge nennen. Zudem verfüge sie über mangelndes spezifisches Alltagswissen. Sie spreche auch kein Chinesisch und kenne die chinesischen Währungseinheiten nicht. Ihre Angaben zum Schulsystem seien tatsachenwidrig und realitätsfremd. Ihren Schilderungen zum Wandel in Tibet seit ihrer Kindheit mangle es komplett an Substanz. Ferner sei auf ihre in wesentlichen Punkten dürftigen und unglaubwürdigen Angaben bezüglich des Reisewegs hinzuweisen. Es sei deshalb davon auszugehen, dass sie unter Verwendung falscher Dokumente in die Schweiz gelangt sei und das Verschweigen ihres Reisewegs zum Ziel habe, ihre wahre Herkunft zu verschleiern. Schliesslich seien auch die Aussagen der Beschwerdeführerin zu ihren Asylgründen unglaubhaft. Da nach dem Gesagten nicht von einer illegalen Ausreise aus China auszugehen sei, lägen vorliegend auch keine subjektiven Nachfluchtgründe vor. Demzufolge erfülle sie die Flüchtlingseigenschaft nicht, weshalb ihr Asylgesuch abzulehnen sei.</w:t>
      </w:r>
    </w:p>
    <w:p>
      <w:r>
        <w:rPr>
          <w:b/>
        </w:rPr>
        <w:t>E. 4.2</w:t>
      </w:r>
    </w:p>
    <w:p>
      <w:r>
        <w:t>Die Beschwerdeführerin hielt dem entgegen, sie habe ihre Identitätskarte auf Anraten des Schleppers weggeworfen, besitze keine anderen gültigen Papiere und könne auch keine solchen besorgen. Ihre Gemeinde C._______(im Entscheid B._______ genannt) existiere sehr wohl und sie habe ihr ganzes Leben dort verbracht. Vielleicht liege es an der Schreibweise, dass der Ort schwer auffindbar sei. Die Tatsache, dass die Vor­instanz den Ort nicht gefunden habe, beweise nicht, dass er nicht existiere. Berge hätten bei ihnen tatsächlich keine Namen. Die chinesischen Namen der Dörfer kenne sie nicht. Über ihr Alltagsleben habe sie detailliert Auskunft gegeben. Chinesisch spreche sie nicht, weil sie nie zur Schule gegangen sei und es nie gelernt habe. Die Schulpflicht werde entgegen den Behauptungen in der angefochtenen Verfügung nicht umgesetzt. Geldangelegenheiten würden von ihrem Vater geregelt. Die Geldnoten, die sie kenne, habe sie korrekt benannt. Zudem gäbe es regionale Unterschiede. Auch zum Wandel in Tibet seit ihrer Kindheit habe sie das gesagt, was sie als Nomadin aus einem abgelegenen Bergdorf davon gespürt habe. Bei der Darstellung des Fluchtweges könne nicht verlangt werden, dass sie jegliches Detail kenne. Sie habe so ausführlich wie möglich berichtet. Sie sei zum ersten Mal im Ausland gewesen und könne als Analphabetin nicht so genau sagen, wo sie gewesen sei. Zudem lägen bei ihr schliesslich aufgrund ihrer illegalen Ausreise subjektive Nachfluchtgründe vor. Somit sei ihr die Flüchtlingseigenschaft anzuerkennen und ihr Asyl zu gewähren. Zur Stützung ihrer Beschwerde reichte die Beschwerdeführerin verschiedenes Kartenmaterial, worauf der Ort C._______verzeichnet ist, allgemeine Berichte über die Registrierung von Tibetern in China, über Schafe und Yaks und über das Bildungswesen in China sowie eine Bestätigung des Tibetbüros des Dalai Lama in Genf vom 26. Juni 2014 ein, wonach sie tibetischer Abstammung und Mitglied der Tibeter Gemeinschaft Schweiz und Lichtenstein sei.</w:t>
      </w:r>
    </w:p>
    <w:p>
      <w:r>
        <w:rPr>
          <w:b/>
        </w:rPr>
        <w:t>E. 4.3</w:t>
      </w:r>
    </w:p>
    <w:p>
      <w:r>
        <w:t>In seiner Vernehmlassung hielt die Vorinstanz fest, aus dem eingereichten Kartenmaterial sei ersichtlich, dass es sich bei C._______nicht um ein entlegenes Nomadendorf, sondern um eine Region unweit der Kreishauptstadt handle. Zudem sei dies die chinesische Bezeichnung, die die Beschwerdeführerin ja gerade nicht kennen wolle. Die tibetische Ethnie der Beschwerdeführerin werde nicht bezweifelt, nur deren Hauptsozialisierung in Tibet. Es werde nicht abgestritten, dass sie über gewisse geografische und landwirtschaftliche Kenntnisse verfüge, jedoch seien die Wissenslücken, unter anderem auch bezüglich ihres Alltagswissens, derart gravierend, dass davon ausgegangen werden müsse, dass sie nie in Tibet gelebt habe. Somit werde weiterhin daran festgehalten, dass ihre chinesische Staatsangehörigkeit nicht glaubhaft gemacht sei.</w:t>
      </w:r>
    </w:p>
    <w:p>
      <w:r>
        <w:rPr>
          <w:b/>
        </w:rPr>
        <w:t>E. 4.4</w:t>
      </w:r>
    </w:p>
    <w:p>
      <w:r>
        <w:t>In ihrer Replik hielt die Beschwerdeführerin daran fest, dass es sich bei C._______um ein Dorf handle und die Bezeichnung tibetisch sei.</w:t>
      </w:r>
    </w:p>
    <w:p>
      <w:r>
        <w:rPr>
          <w:b/>
        </w:rPr>
        <w:t>E. 5</w:t>
      </w:r>
    </w:p>
    <w:p>
      <w:r>
        <w:t>Im Urteil des Bundesverwaltungsgerichts E-3361/2014 vom 6. Mai 2015 wurde erörtert, welche Anforderungen sich im Zusammenhang mit der vom SEM als Praxisänderung deklarierten Vorgehensweise bei der Herkunftsabklärung tibetischer Asylsuchender - anstelle von Lingua-Gutach­ten werden neu im Rahmen der eingehenden Anhörung vertiefte Befragungen zu den Länderkenntnissen und zum Alltagswissen durchgeführt - aus dem Untersuchungsgrundsatz und dem Anspruch auf rechtliches Gehör ergeben.</w:t>
      </w:r>
    </w:p>
    <w:p>
      <w:r>
        <w:rPr>
          <w:b/>
        </w:rPr>
        <w:t>E. 5.1</w:t>
      </w:r>
    </w:p>
    <w:p>
      <w:r>
        <w:t>Demnach muss aus den Akten nicht nur in für das Gericht nachvollziehbarer Weise hervorgehen, welche Fragen die Vorinstanz der Beschwerdeführerin gestellt hat und wie diese darauf geantwortet hat, sondern auch welche Fragen wie hätten beantwortet werden müssen und weshalb in Tibet sozialisierte asylsuchende Personen in einer vergleichbaren Situation, wie die Beschwerdeführerin,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stützten,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wird und ihr die Möglichkeit eingeräumt wird, sich insbesondere zu den als unzureichend eingestuften Antworten äussern zu können (vgl. E-3361/2014 E. 5.2.2).</w:t>
      </w:r>
    </w:p>
    <w:p>
      <w:r>
        <w:rPr>
          <w:b/>
        </w:rPr>
        <w:t>E. 5.2</w:t>
      </w:r>
    </w:p>
    <w:p>
      <w:r>
        <w:t>Sind diese Mindeststandards betreffend Gewährung des rechtlichen Gehörs respektive der Untersuchungspflicht der Vorinstanz im Rahmen ihrer neu eingeführten Methode der Herkunftsabklärung für Asylsuchende tibetischer Ethnie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E-3361/2014 E. 5.2.3).</w:t>
      </w:r>
    </w:p>
    <w:p>
      <w:r>
        <w:rPr>
          <w:b/>
        </w:rPr>
        <w:t>E. 6</w:t>
      </w:r>
    </w:p>
    <w:p>
      <w:r>
        <w:t>Im Folgenden ist zu prüfen, ob die Vorinstanz diese Mindeststandards im vorliegenden Fall eingehalten hat.</w:t>
      </w:r>
    </w:p>
    <w:p>
      <w:r>
        <w:rPr>
          <w:b/>
        </w:rPr>
        <w:t>E. 6.1</w:t>
      </w:r>
    </w:p>
    <w:p>
      <w:r>
        <w:t>Dabei ist vor dem Hintergrund der Ausführungen in Erwägung 5.2 vorweg festzuhalten, dass die Antworten der Beschwerdeführerin auf die Fragen zum Länder- und Alltagswissen nicht derart unplausibel, substanzarm oder widersprüchlich ausgefallen sind, dass sie eine Herkunft derselben aus Tibet China offensichtlich ausschlössen und sich weitere fachliche Abklärungen somit erübrigten. So wies die Vorinstanz in der Vernehmlassung selbst darauf hin, dass die Beschwerdeführerin über gewisse geografische und landwirtschaftliche Kenntnisse verfüge. Auch ist der von der Beschwerdeführerin genannte Herkunftsort C._______zumindest als Region auf dem von ihr eingereichten Kartenmaterial ersichtlich. Auch lässt sich alleine aufgrund der Angaben der Beschwerdeführerin zu den Asylgründen, zum Reiseweg und zu den fehlenden Identitätspapieren nicht ableiten, dass sie nicht aus dem Dorf C._______in F._______ stammt. Würden nämlich bereits diese Angaben alleine eine Herkunft aus Tibet China ausschliessen, erübrigten sich weitere fachliche Abklärungen bezüglich des Länder- und Alltagswissens der Beschwerdeführerin ebenfalls, da dann gar nicht auf ihre Angaben im Rahmen der Herkunftsabklärung abgestellt werden müsste.</w:t>
      </w:r>
    </w:p>
    <w:p>
      <w:r>
        <w:rPr>
          <w:b/>
        </w:rPr>
        <w:t>E. 6.2</w:t>
      </w:r>
    </w:p>
    <w:p>
      <w:r>
        <w:t>Für den vorliegenden Fall ist festzuhalten, dass dem Protokoll zur Anhörung vom 3. Juni 2014 zwar die gestellten Fragen und die Antworten der Beschwerdeführerin entnommen werden können. Allerdings enthalten die Akten keinerlei Ausführungen zu den vom BFM als korrekt erachteten Antworten, geschweige denn zu den Quellen, an denen sich die Befragerin zwecks Beurteilung der Erklärungen der Beschwerdeführerin orientiert hat. Das Befragungsprotokoll erlaubt bezüglich eines Grossteils der Fragen nicht einmal eindeutige Rückschlüsse darauf, ob die Beschwerdeführerin diese in zulänglicher Weise beantwortet hat beziehungsweise, wenn sie die Antwort nicht wusste, ob und weshalb sie diese hätte kennen sollen (vgl. A14 F83ff.). Aus den Akten geht somit nicht hervor, welche Antworten der Beschwerdeführerin richtig beziehungsweise falsch sind und wie im Falle unzutreffender Angaben die korrekte Antwort auf die gestellte Frage lauten würde.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 Wie in Erwägung 5.1 ausgeführt, muss die Vorinstanz der Beschwerdeführerin vor dem Hintergrund von Art. 30 VwVG überdies den wesentlichen Inhalt der Herkunftsuntersuchung - insbesondere die als unzureichend eingestuften Antworten - so detailliert zur Kenntnis bringen, dass sie hierzu konkrete Einwände anbringen kann, und ihr die Möglichkeit einräumen, sich tatsächlich dazu zu äussern. Ob die Vorinstanz einer asylsuchenden Person künftig in einer aktenkundigen schriftlichen Notiz oder anlässlich der Gewährung des rechtlichen Gehörs im Rahmen einer zu protokollierenden mündlichen Anhörung mit den als tatsachenwidrig, falsch oder unzureichend erachteten Antworten, unter Angabe der dazugehörigen Fragen, konfrontiert, ist ihr unbenommen. Im vorliegenden Fall wurde die Beschwerdeführerin zwar mit allgemeinen Aussagen auf ihr Unwissen bezüglich der Schulpflicht, des Alltagswissen, der Währungseinheiten, landwirtschaftlichen Aspekten, geografischen Gegebenheiten und des Reisewegs hingewiesen (vgl. A14 F108ff.). Allerdings wurde, abgesehen von den Fragen zu den Schafen und den Dris (vgl. A14 F113f.), nicht noch einmal konkret auf die dazugehörigen Fragen eingegangen und auch nicht konkret dargelegt, welche ihrer Antworten inwiefern falsch waren. Angesichts dieser pauschalen Rückfragen wurde es der Beschwerdeführerin objektiv verunmöglicht, konkrete Einwände gegen die vorgeworfenen Falschangaben anzubringen.</w:t>
      </w:r>
    </w:p>
    <w:p>
      <w:r>
        <w:rPr>
          <w:b/>
        </w:rPr>
        <w:t>E. 6.3</w:t>
      </w:r>
    </w:p>
    <w:p>
      <w:r>
        <w:t>Nach dem Gesagten steht fest, dass das SEM im vorliegenden Fall sowohl den Anspruch der Beschwerdeführerin auf Einräumung des rechtlichen Gehörs als auch den Untersuchungsgrundsatz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Beschwerdeführerin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mit weiteren Hinweisen).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Auch eine Häufung von für sich allein weniger gewichtigen Verfahrensfehlern kann dazu führen, dass das Verfahren insgesamt als derart mangelhaft bezeichnet werden muss, dass eine Heilung im Rechtsmittelverfahren ausgeschlossen ist (vgl. E-3361/2014 E. 7.1 mit weiteren Hinweisen).</w:t>
      </w:r>
    </w:p>
    <w:p>
      <w:r>
        <w:rPr>
          <w:b/>
        </w:rPr>
        <w:t>E. 7.2</w:t>
      </w:r>
    </w:p>
    <w:p>
      <w:r>
        <w:t>Vor dem Hintergrund dieser Ausführungen erscheint eine Kassation bereits angesichts der durch die Verletzung des rechtlichen Gehörs und des Untersuchungsgrundsatzes vorliegend gehäuft aufgetretenen Verfahrensfehler gerechtfertigt. Hinzu kommt, dass die hier interessierende Frage keinen Einzelfall beschlägt, sondern für eine Vielzahl anderer Fälle mit vergleichbaren Konstellationen von Bedeutung ist. Die angefochtene Verfügung ist deshalb aufzuheben und im Sinne der Erwägungen an die Vor­instanz zurückzuweisen.</w:t>
      </w:r>
    </w:p>
    <w:p>
      <w:r>
        <w:rPr>
          <w:b/>
        </w:rPr>
        <w:t>E. 8</w:t>
      </w:r>
    </w:p>
    <w:p>
      <w:r>
        <w:t>Bei dieser Sachlage erübrigt sich eine Auseinandersetzung mit den weiteren Vorbringen in der Beschwerde. 9.1 Bei diesem Ausgang des Verfahrens sind keine Kosten zu erheben (Art. 63 Abs. 1 VwVG). 9.2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eingereicht. Auf entsprechende Nachforderung kann verzichtet werden, da der notwendige Vertretungsaufwand aufgrund der Akten zuverlässig abgeschätzt werden kann (Art. 14 Abs. 2 VGKE). Unter Berücksichtigung der massgebenden Berechnungsfaktoren (Art. 8, 9 und 11 VGKE) ist die Parteientschädigung auf Fr. 600.- (inkl. Auslagen und Mehrwertsteuer) festzusetzen. Die Vor­instanz ist anzuweisen, der Beschwerdeführerin diesen Betrag als Parteientschädigung zu entrichten. 9.3 Damit wird eine Entschädigung des als amtlicher Rechtsbeistand eingesetzten Vertreters zu Lasten der Gerichtskasse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