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D-4024/2014 vom 16. Februar 2016</w:t>
      </w:r>
    </w:p>
    <w:p>
      <w:r>
        <w:t>Bundesverwaltungsgericht, 2016-02-16, DE</w:t>
      </w:r>
    </w:p>
    <w:p>
      <w:r>
        <w:rPr>
          <w:b/>
        </w:rPr>
        <w:t xml:space="preserve">Quelle: </w:t>
      </w:r>
      <w:r>
        <w:t>https://mcp.opencaselaw.ch/entscheid/bvger_D-4024_2014</w:t>
      </w:r>
    </w:p>
    <w:p>
      <w:r>
        <w:t>FR: TAF D-4024/2014 du 16 février 2016</w:t>
      </w:r>
    </w:p>
    <w:p>
      <w:r>
        <w:t>IT: TAF D-4024/2014 del 16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112 AuG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die Vorinstanz im Wesentlichen aus, die vom Beschwerdeführer geltend gemachte Bedrohung durch einen Landsmann, der ebenfalls im amerikanischen Camp tätig gewesen und der Zugehörigkeit zur Taliban verdächtigt worden sei, erweise sich aufgrund widersprüchlicher Aussagen zum Ablauf der Bedrohung durch besagten ehemaligen Kollegen als unglaubhaft. Ebenso würde das Verhalten des Beschwerdeführers soweit seine Flucht betreffend, der allgemeinen Logik des Handelns widersprechen. Insbesondere sei nicht nachvollziehbar, dass der Beschwerdeführer nach eigenem Bekunden die Flucht ergriffen habe, ohne seine Familie im Vorfeld darüber zu informieren oder zu warnen. Sodann lasse sich allein aus seiner Tätigkeit für eine amerikanische Sicherheitsfirma in einem Camp der amerikanischen Armee eine Furcht vor Verfolgung durch die Taliban nicht objektiv begründen. Der Beschwerdeführer habe denn auch keine anderweitigen Bedrohungen als die, welche als unglaubhaft zu erachten seien, geltend gemacht. Die Flüchtlingseigenschaft sei daher zu verneinen und das Asylgesuch abzuweisen. Der Vollzug der anzuordnenden Wegweisung erweise sich überdies als zulässig, zumutbar und möglich, da der Beschwerdeführer in Kabul über ein familiäres und soziales Netz verfüge, eine gute Ausbildung habe und die bei ihm vermutete Posttraumatische Belastungsstörung bis zum Zeitpunkt des Entscheids nicht durch weitere ärztliche Zeugnisse belegt worden sei, weshalb davon auszugehen sei, dass eine solche nicht bestehe.</w:t>
      </w:r>
    </w:p>
    <w:p>
      <w:r>
        <w:rPr>
          <w:b/>
        </w:rPr>
        <w:t>E. 4.2</w:t>
      </w:r>
    </w:p>
    <w:p>
      <w:r>
        <w:t>In der Beschwerde wird im Wesentlichen geltend gemacht, soweit die Vorinstanz Widersprüche im Aussageverhalten des Beschwerdeführers hinsichtlich der geltend gemachten Bedrohung durch einen ehemaligen Mitarbeiter ausmache, sei zu berücksichtigen, dass die Anhörung des Beschwerdeführers erst Anfang 2014 und damit rund drei Jahre nach dessen Flucht stattgefunden habe. Die Aussagen des Beschwerdeführers seien zudem insgesamt von zahlreichen Realkennzeichen, namentlich von spontanen und detailreichen Beschreibungen geprägt. Der Beschwerdeführer gelte im Heimatstaat aufgrund seiner bewiesenen Arbeit für die amerikanische Sicherheitsfirma als Kollaborateur der Besatzungstruppe und gehöre mithin zu einer besonders gefährdeten Personengruppe, welche in das Visier der Taliban gerate. Zudem sei zu berücksichtigen, dass bereits zwei Brüder des Beschwerdeführers, welche öffentlich als Gegner der Taliban wahrgenommen worden seien, zu Zeiten der Taliban-Herrschaft verschwunden seien. Diesbezüglich habe die Vorinstanz den Sachverhalt "fehlerhaft" ermittelt, indem sie es unterlassen habe, diesen vom Beschwerdeführer in der Anhörung geltend gemachten Umstand näher zu untersuchen. Die ihm im Heimatstaat drohende Verfolgung durch die Taliban sei zwar nichtstaatlicher Natur, eine Schutzgewährung im Heimatstaat sei aber zu verneinen, da es an einer entsprechenden Schutzinfrastruktur fehle. Sodann sei hinsichtlich der Frage der Unzumutbarkeit festzustellen, dass im vorinstanzlichen Verfahren durch einen behandelnden Psychotherapeuten der ärztliche Verdacht auf das Bestehen einer Posttraumatischen Belastungsstörung (PTBS) geäussert worden sei. Der in diesem Zusammenhang gezogene Schluss der Vorinstanz, vom Nichtbestehen einer PTBS auszugehen, erweise sich als fehlerhafte Sachverhaltsfeststellung. Der Beschwerdeführer leide überdies an einem Cervocoradialen Schmerzsyndrom. Er verfüge überdies entgegen der Annahme der Vorinstanz im Heimatstaat nicht über ein familiäres oder soziales Beziehungsnetz, welches ihn im Falle einer Rückkehr angemessen unterstützen könne.</w:t>
      </w:r>
    </w:p>
    <w:p>
      <w:r>
        <w:rPr>
          <w:b/>
        </w:rPr>
        <w:t>E. 4.3</w:t>
      </w:r>
    </w:p>
    <w:p>
      <w:r>
        <w:t>Im Rahmen der Vernehmlassung führte die Vorinstanz im Wesentlichen aus, die vom Beschwerdeführer getätigten Aussagen zum Verschwinden seiner Brüder habe keinen Anlass zu weiteren Nachforschungen geboten, da dieses Ereignis gemäss Angaben des Beschwerdeführers bereits mehr als 10 Jahre zurückliege und kein rechtserheblicher Zusammenhang zu den Asylgründen des Beschwerdeführers auszumachen sei. In übrigen sei der Kontakt des Beschwerdeführers mit Angehörigen der Taliban während seiner Arbeit als Wachmann sowie die geltend gemachte in Kabul erlebte Attacke als unglaubhaft erachtet worden. Abgesehen davon habe der Beschwerdeführer nach eigenem Bekunden keine Probleme mit den Taliban gehabt.</w:t>
      </w:r>
    </w:p>
    <w:p>
      <w:r>
        <w:rPr>
          <w:b/>
        </w:rPr>
        <w:t>E. 4.4</w:t>
      </w:r>
    </w:p>
    <w:p>
      <w:r>
        <w:t>In den replizierenden Eingaben wurde dem im Wesentlichen entgegengehalten, dass der Untersuchungsgrundsatz eine vollständige Sachverhaltsabklärung gebiete. Der Beschwerdeführer sei seiner Mitwirkungspflicht gänzlich nachgekommen, indem er die Vorinstanz auf das Verschwinden der Brüder während der Taliban-Herrschaft aufmerksam gemacht habe. Das Verschwinden sei insofern rechtserheblich, als das Asylgesuch mit Furcht vor den Taliban begründet werde. Auch im Hinblick auf den Wegweisungsvollzug sei der Untersuchungsgrundsatz verletzt worden. Insbesondere könne nicht davon ausgegangen werden, dass der Beschwerdeführer im Heimatstaat über ein soziales Netz verfüge, welches ihm bei der Wiedereingliederung behilflich sein könne. Dem Beschwerdeführer sei es sodann gelungen, über Facebook seinen ehemaligen Vorgesetzten F._______ zu kontaktieren. Dieser sei von 2009 bis 2011 im B._______ Camp "training instructor" gewesen. Besagter Vorgesetzter sei auch auf einem der vom Beschwerdeführer eingereichten Fotos (Beschwerdeeingabe, Beilage 11) zu sehen. F._______ habe - wie der eingereichte Schriftverkehr zwischen ihm und dem bevollmächtigten Rechtsvertreter zu entnehmen sei - bestätigt, dass der Beschwerdeführer als Sicherheitswächter unter seinem Kommando gearbeitet habe. Er habe sodann auch bestätigt, dass im B._______ Camp zwei Brüder angestellt gewesen seien, welche allem Anschein nach den Taliban angehörten. Hinsichtlich des Gesundheitszustandes des Beschwerdeführers wurde zuletzt auf den Bericht des (...) vom 18. Mai 2015 verwiesen.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w:t>
      </w:r>
    </w:p>
    <w:p>
      <w:r>
        <w:rPr>
          <w:b/>
        </w:rPr>
        <w:t>E. 5.2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5.3</w:t>
      </w:r>
    </w:p>
    <w:p>
      <w:r>
        <w:t>Aufgrund der Subsidiarität des flüchtlingsrechtlichen Schutzes setzt die Anerkennung der Flüchtlingseigenschaft ausserdem voraus, dass die betroffene Person in ihrem Heimat- oder Herkunftsstaat keinen ausreichenden Schutz finden kann (vgl. BVGE 2011/51 E. 7.1 ff. m.w.H.).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2010/57 E. 2 m.w.H.).</w:t>
      </w:r>
    </w:p>
    <w:p>
      <w:r>
        <w:rPr>
          <w:b/>
        </w:rPr>
        <w:t>E. 5.4</w:t>
      </w:r>
    </w:p>
    <w:p>
      <w:r>
        <w:t>Die Asylgründe sind sodann glaubhaft zu machen. Eine Glaubhaftmachung ist zu bejahen, wenn das Vorbringen genügend substanziiert, in sich schlüssig und plausibel ist. Es darf sich nicht in vagen Schilderungen erschöpfen, in wesentlichen Punkten nicht widersprüchlich sein, der inneren Logik entbehren oder den Tatsachen oder der allgemeinen Erfahrung widersprechen. Glaubhaftmachen bedeutet ferner - im Gegensatz zum strikten Beweis - ein reduziertes Beweismass und lässt durchaus Raum für gewisse Einwände und Zweifel am Vorbringen der gesuchstellenden Person. Entscheidend ist, ob die Gründe, welche für die Richtigkeit der Sachverhaltsdarstellung sprechen, überwiegen oder nicht. Dabei ist auf eine objektivierte Sichtweise abzustellen (vgl. BVGE 2010/57 E. 2.2. m.w.H.).</w:t>
      </w:r>
    </w:p>
    <w:p>
      <w:r>
        <w:rPr>
          <w:b/>
        </w:rPr>
        <w:t>E. 6.1</w:t>
      </w:r>
    </w:p>
    <w:p>
      <w:r>
        <w:t>Die Vorinstanz erachtete zunächst den Ablauf des Zusammentreffens mit F._______ in Kabul und die folgenden Ausreiseumstände nicht für glaubhaft. Vorauszuschicken ist an dieser Stelle, dass die von der Vorinstanz in diesem Zusammenhang dargestellten Widersprüche nicht restlos zu überzeugen vermögen. So vermag das Gericht in der Aussage, der Beschwerdeführer habe sich zur medizinischen Behandlung in Kabul - und nicht mehr im Camp - aufgehalten, als er F._______ angetroffen habe (BzP), mit den Ausführungen im Detail anlässlich der Anhörung, F._______ habe ihn angegriffen, als er nach Verrichtung des Nachmittagsgebet die Moschee verlassen habe, keinen wesentlichen Widerspruch zu erkennen. Auch dass anlässlich der BzP noch nicht erwähnt wurde, dass F._______ in einem Auto sass und noch weitere Personen mit ihm im Auto gewesen seien, kann angesichts des summarischen Charakters der BzP nicht als wesentlich gewertet werden. Zu Recht führt die Vorinstanz allerdings aus, dass sich gewisse Unterschiede in der Beschreibung des Angriffes beziehungsweise dessen Verlaufes ergeben, was Zweifel aufwirft. Es ist jedoch auch zu berücksichtigen, dass die Anhörung erst drei Jahre nach der Ausreise erfolgte und der Beschwerdeführer immer übereinstimmend aussagte, er sei des Verrates bezichtigt worden. Letztlich kann eine abschliessende Beurteilung dieser Vorbringen jedoch unterbleiben, zumal der Beschwerdeführer seine berufliche Tätigkeit im Sicherheitsdienst für die amerikanische Firma "(...)", im amerikanischen Camp in B._______ Provinz C._______, im Zeitraum von August 2008 bis Mitte März 2011 jedenfalls glaubhaft gemacht hat. Die Einschätzung resultiert zunächst aus seinen detaillierten und in sich schlüssigen Ausführungen zu seiner Tätigkeit. Zudem werden seine Angaben belegt durch zahlreiche von ihm eingereichten Beweismittel, namentlich seine Arbeitsausweise, eine Arbeitsbestätigung, ein erworbenes Qualifikationszertifikat sowie die verschiedenen Fotos, welche ihn offensichtlich am Arbeitsort zeigen (vgl. act. A 12/1 [Beweismittelcouvert]). Ein ehemaliger Vorgesetzter des Beschwerdeführers hat sodann im Rahmen des Beschwerdeverfahrens im Austausch mit dem Rechtsvertreter ebenfalls die Tätigkeit des Beschwerdeführers für die "(...)" im genannten Zeitraum bestätigt (vgl. Beschwerdedossier act. 8 Beilage 1).</w:t>
      </w:r>
    </w:p>
    <w:p>
      <w:r>
        <w:rPr>
          <w:b/>
        </w:rPr>
        <w:t>E. 6.2</w:t>
      </w:r>
    </w:p>
    <w:p>
      <w:r>
        <w:t>Die Vorinstanz stellt die Ausübung dieser Tätigkeit durch den Beschwerdeführer denn auch nicht in Frage. Sie erachtet diese Tätigkeit für sich betrachtet jedoch nicht als flüchtlingsrechtlich relevant, da der Beschwerdeführer allein durch seine Tätigkeit als Wachmann nach Einschätzung der Vorinstanz kein entsprechendes Gefährdungspotential aufweise. Die Vorinstanz stützt sich hierzu auf die Aussage des Beschwerdeführers, wonach er abgesehen von den als unglaubhaft erachteten Behelligungen keine anderen Probleme geltend gemacht habe. Die vorinstanzliche Einschätzung kann aufgrund der nachfolgenden Erwägungen im Ergebnis nicht geteilt werden.</w:t>
      </w:r>
    </w:p>
    <w:p>
      <w:r>
        <w:rPr>
          <w:b/>
        </w:rPr>
        <w:t>E. 6.3</w:t>
      </w:r>
    </w:p>
    <w:p>
      <w:r>
        <w:t>Das Gericht nahm im Grundsatzurteil BVGE 2011/7 eine umfassende Analyse der Sicherheitslage in Afghanistan vor. Die Analyse beinhaltete auch die Definition von Personengruppen, welche aufgrund ihrer Exponiertheit einem erhöhten Verfolgungsrisiko ausgesetzt sind. Konkret beurteilte das Gericht die Sicherheitslage als äusserst prekär. Es kam ferner zum Schluss, dass die Hauptstadt Kabul im Vergleich zu den übrigen Landesteilen trotz vereinzelter Anschläge weiterhin zu den relativ stabilen Landesteilen gehöre, die kaum von Anschlägen betroffen seien; die afghanischen Sicherheitskräfte seien dort besser in der Lage, Verantwortung zu übernehmen und für die Bevölkerung in Kabul ein vergleichsweise sicheres Umfeld zu schaffen (vgl. a.a.O. E. 9.7.4. f.). In letzter Zeit hat sich die Situation in Afghanistan eher noch verschlechtert. Mit dem Abzug der International Security Assistance Force (ISAF) und den damit entstandenen Sicherheitslücken begannen die militärischen Konfrontationen zwischen regierungsfeindlichen Gruppierungen und afghanischen Sicherheitskräften zu eskalieren und führten zu einem merklichen Anstieg der zivilen Opfer. Dies ist zu einem wesentlichen Teil regierungsfeindlichen Gruppierungen zuzuschreiben. Insbesondere ist in Kabul die Zahl gewaltsamer Übergriffe in letzter Zeit erheblich angestiegen, wobei sich diese vor allem gegen Regierungsvertreter, Sicherheitspersonal sowie ausländische Personen und Geschäftsstellen richten. Der Jahresüberblick 2015 zeigt, dass die Zahl der zivilen Opfer weiterhin sehr hoch ist. Vor diesem Hintergrund ist aktuell unklar, ob sich die afghanischen Sicherheitskräfte ohne internationale Unterstützung gegen die regierungsfeindlichen Gruppierungen werden behaupten können, zumal die Desertions- und Abgangsrate unter den afghanischen Sicherheitskräften sehr hoch und der Ausbildungsstand der Rekruten als schlecht zu bezeichnen ist und eine Infiltrierung durch regierungsfeindliche Gruppierungen stattfindet. Zudem gilt die Afghan Local Police (ALP) in der afghanischen Bevölkerung als korrupt und hat einen schlechten Ruf, weshalb sich offenbar kaum jemand freiwillig ihrem Schutz unterstellt (vgl. zu dieser Einschätzung das Urteil des Bundesverwaltungsgerichts E-3520/2014 vom 3. November 2015 E. 7.2 m.w.H.).</w:t>
      </w:r>
    </w:p>
    <w:p>
      <w:r>
        <w:rPr>
          <w:b/>
        </w:rPr>
        <w:t>E. 6.4</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Insbesondere betrifft dies afghanische wie ausländische Mitarbeitende von internationalen Organisationen, Unternehmen oder NGOs. Es liegen Berichte darüber vor, dass Personen mit derartigem Profil getötet, entführt und eingeschüchtert worden sind. Ebenso soll es auch zu Übergriffen auf Familienangehörige solcher Personen gekommen sein (vgl. Urteil des Bundesverwaltungsgericht E-3520/2014 vom 3. November 2015 E. 7.3 m.w.H.).</w:t>
      </w:r>
    </w:p>
    <w:p>
      <w:r>
        <w:rPr>
          <w:b/>
        </w:rPr>
        <w:t>E. 6.5</w:t>
      </w:r>
    </w:p>
    <w:p>
      <w:r>
        <w:t>Der Beschwerdeführer weist angesichts seiner fast dreijährigen Tätigkeit für den Sicherheitsbereich in einem Camp der amerikanischen Streitkräfte bereits an sich ein gewisses Gefährdungsprofil auf. Sein Rechtsvertreter ist sodann im Rahmen des Beschwerdeverfahrens mit einem seiner ehemaligen Vorgesetzten im Camp in Verbindung getreten. Der erfolgte schriftliche Austausch wurde im Beschwerdeverfahren eingereicht (vgl. Beschwerdedossier act. 8 Beilage1). Das Gericht erachte die schriftlichen Ausführungen als authentisch und glaubhaft. Daraus ergibt sich, dass der Beschwerdeführer tatsächlich mehrere Jahre für die amerikanischen Streitkräfte tätig war. Der ehemalige Vorgesetzte bestätigt auch das Vorbringen des Beschwerdeführers, dass im Camp zwei afghanische Brüder tätig gewesen seien, wobei einem der Brüder eine Nähe zur Taliban nachgewiesen worden sei. Die in diesem Zusammenhang vom BFM angesprochenen Ungereimtheiten in Bezug auf die Ausführungen des Beschwerdeführers zu den Aufgaben des Brüderpaars und deren Fluchtumstände vermögen vor diesem Hintergrund die Vorbringen insgesamt nicht als unglaubhaft erscheinen zu lassen. Nicht geteilt werden können sodann auch die Ausführungen der Vorinstanz in Bezug auf den Kontakt des Beschwerdeführers mit einem der Brüder. Dieser wurde vom Beschwerdeführer niederschwellig, ohne Übertreibungen und insgesamt realistisch dargestellt. So beschrieb er, wie er F._______ Lebensmittel aus dem Lager schmuggeln liess und es in diesem Zusammenhang allenfalls zu einem Missverständnis zwischen ihm und F._______ gekommen war, als dieser in aufgefordert hatte, ihm behilflich zu sein. Der ehemalige Vorgesetzte hält zudem fest, dass verschiedentlich Bedrohungen seitens der Taliban erfolgt seien, ein Angriff auf das Camp aber nie stattgefunden habe. Er bestätigt sodann die vom Beschwerdeführer angegebene Anzahl von 40 Sicherheitskräften (vgl. Beschwerdedossier act. 8 Beilage 1 S. 2). Vor dem Hintergrund, dass im Camp selbst mithin eine relativ überschaubare Anzahl von afghanischen Mitarbeitenden tätig war, darf es deshalb als wahrscheinlich gelten, dass der Beschwerdeführer durch Angehörige der Taliban ohne weiteres identifizierbar war und dies auch weiterhin ist. Bereits aufgrund dieser Umstände ist darauf zu schliessen, dass der Beschwerdeführer objektiv einem erhöhten Verfolgungsrisiko durch die Taliban ausgesetzt ist. Der Beschwerdeführer hat überdies in glaubhafter Weise geltend gemacht, dass sein in Kabul als Händler lebender Bruder von Dritten nach seinem Verbleib gefragt worden ist. Die Aussage ist als glaubhaft zu werten, insbesondere als der Beschwerdeführer ohne jegliche Übertreibung auch einräumte, dass seine Familie, namentlich besagter in Kabul lebender Bruder sowie die in Mazar-i-Sharif lebende Schwester und Mutter keinen weiteren eigenen Behelligungen durch die Taliban ausgesetzt gewesen seien.</w:t>
      </w:r>
    </w:p>
    <w:p>
      <w:r>
        <w:rPr>
          <w:b/>
        </w:rPr>
        <w:t>E. 6.6</w:t>
      </w:r>
    </w:p>
    <w:p>
      <w:r>
        <w:t>Insgesamt ist daher davon auszugehen, dass der Beschwerdeführer einer Risikogruppe angehört, mit einem entsprechenden Gefährdungspotential. Ein objektiv begründetes Risiko der Verfolgung durch die Taliban ist daher zu bejahen. Nach dem Gesagten gelangt das Gericht zum Schluss, dass eine begründete Furcht des Beschwerdeführers vor Verfolgung im Sinne von Art. 3 AsylG durch die Taliban im Zeitpunkt der Ausreise bei objektiver Betrachtung zu bejahen ist. Angesichts der unveränderten Sicherheits- und Verfolgungslage in Afghanistan ist davon auszugehen, dass der Beschwerdeführer begründeterweise auch künftige Verfolgung zu befürchten hat (vgl. zur Regelvermutung, dass von erlittener, mit der Ausreise in Kausalzusammenhang stehender Vorverfolgung ohne weiteres auf das Bestehen einer begründeten Furcht vor künftiger Verfolgung zu schliessen ist: BVGE 2009/51 E. 4.2.5, m.w.H.). Auch wenn die afghanischen Sicherheitskräfte in Kabul im Vergleich zu anderen Gebieten Afghanistans besser in der Lage sind, für die Bevölkerung ein einigermassen sicheres Umfeld zu schaffen, ist davon auszugehen, dass sie für Angehörige von Personengruppen mit einem hohen Risikoprofil - zu welchen der Beschwerdeführer gehört - keine funktionierende und effiziente Schutz-Infrastruktur zur Verfügung stellen können.</w:t>
      </w:r>
    </w:p>
    <w:p>
      <w:r>
        <w:rPr>
          <w:b/>
        </w:rPr>
        <w:t>E. 6.7</w:t>
      </w:r>
    </w:p>
    <w:p>
      <w:r>
        <w:t>Die Annahme einer innerstaatlichen Schutzalternative in anderen Landesteilen würde im Lichte der Schutztheorie bedingen,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Fluchtort nicht präsent ist, sondern es muss auch die Möglichkeit ausgeschlossen werden können, dass er seinen Einfluss auf diesen Ort ausdehnen kann (vgl. BVGE 2013/5 E. 5.4.3, BVGE 2011/51 E. 8.5.1 und 8.6). Eine Schutzalternative in diesem Sinne besteht offensichtlich auch in anderen Teilen Afghanistans nicht, zumal die Taliban in allen Landesteilen ihre Aktivitäten entfalten und die Schutzinfrastruktur gegenüber derjenigen von Kabul auch in anderen grossen Städten nicht effizienter ist.</w:t>
      </w:r>
    </w:p>
    <w:p>
      <w:r>
        <w:rPr>
          <w:b/>
        </w:rPr>
        <w:t>E. 7</w:t>
      </w:r>
    </w:p>
    <w:p>
      <w:r>
        <w:t>Nach dem Gesagten ist festzustellen, dass der Beschwerdeführer die Voraussetzungen für die Zuerkennung der originären Flüchtlingseigenschaft im Sinne von Art. 3 AsylG erfüllt. Da den Akten keine Anhaltspunkte zu entnehmen sind, die auf das Vorliegen von Ausschlussgründen im Sinne von Art. 53 AsylG hindeuten, ist ihm in der Schweiz Asyl zu gewähren (vgl. Art. 49 AsylG).</w:t>
      </w:r>
    </w:p>
    <w:p>
      <w:r>
        <w:rPr>
          <w:b/>
        </w:rPr>
        <w:t>E. 8</w:t>
      </w:r>
    </w:p>
    <w:p>
      <w:r>
        <w:t>Die Verfügung des SEM ist aufzuheben und die Vorinstanz ist anzuweisen, dem Beschwerdeführenden in der Schweiz Asyl zu gewähren.</w:t>
      </w:r>
    </w:p>
    <w:p>
      <w:r>
        <w:rPr>
          <w:b/>
        </w:rPr>
        <w:t>E. 9</w:t>
      </w:r>
    </w:p>
    <w:p>
      <w:r>
        <w:t>Bei diesem Ausgang des Verfahrens sind keine Kosten aufzuerlegen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 11. September 2014 eingereichte Kostennote weist einen Aufwand des Rechtsvertreters von insgesamt Fr. 3643.50.- (inkl. Auslagen und Mehrwertsteuerzuschlag) auf. Der geltend gemachte zeitliche Vertretungsaufwand wird als zu hoch und ist nicht vollumfänglich angemessen erachtet und ist zu reduzieren. Zu berücksichtigen ist jedoch der nach Einreichung der Kostennote erfolgte Vertretungsaufwand des Rechtsvertreters. Gestützt auf die in Betracht zu ziehenden Bemessungsfaktoren (Art. 9 - 13 VGKE) ist die Parteientschädigung auf insgesamt auf Fr. 2'500.-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