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D-4023/2010 vom 2. Juli 2010</w:t>
      </w:r>
    </w:p>
    <w:p>
      <w:r>
        <w:t>Bundesverwaltungsgericht, 2010-07-02, DE</w:t>
      </w:r>
    </w:p>
    <w:p>
      <w:r>
        <w:rPr>
          <w:b/>
        </w:rPr>
        <w:t xml:space="preserve">Quelle: </w:t>
      </w:r>
      <w:r>
        <w:t>https://mcp.opencaselaw.ch/entscheid/bvger_D-4023_2010</w:t>
      </w:r>
    </w:p>
    <w:p>
      <w:r>
        <w:t>FR: TAF D-4023/2010 du 2 juillet 2010</w:t>
      </w:r>
    </w:p>
    <w:p>
      <w:r>
        <w:t>IT: TAF D-4023/2010 del 2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vorinstanzliche Verfügung wurde am 8. April 2010 vie EDA-Kurier an die Schweizer Vertretung in Colombo übermittelt und von dieser an den Beschwerdeführer weitergeleitet. Wann die Verfügung des BFM vom 8. April 2010 dem Beschwerdeführer eröffnet wurde, ist nicht aktenkundig. Die Beschwerde vom 13. Mai 2010 ging am 18. Mai 2010 bei der Botschaft ein. In Ermangelung eines Zustellnachweises der Schweizer Vertretung wird vorliegend zu Gunsten des Beschwerdeführers davon ausgegangen, er habe seine Beschwerde rechtzeitig der Botschaft übergeben respektive zugestellt. 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Das BFM hat in Nachachtung des Grundsatzurteils des Bundesverwaltungsgerichts BVGE 2007/30 in casu dem Beschwerdeführer in korrekter Weise das rechtliche Gehör gewährt und dessen Stellungnahme vom 27. Februar 2010 im angefochtenen Entscheid vom 8. April 2010 entsprechend gewürdigt.</w:t>
      </w:r>
    </w:p>
    <w:p>
      <w:r>
        <w:rPr>
          <w:b/>
        </w:rPr>
        <w:t>E. 3.1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3.2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3.3</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Zunächst ist festzuhalten, dass vorliegend vom Beschwerdeführer weder eine besondere Beziehungsnähe zur Schweiz geltend gemacht wurde noch eine solche aus den Akten ersichtlich ist. Weiter hat das BFM im angefochtenen Entscheid zu Recht und mit zutreffender Begründung hinsichtlich der Inhaftierung des Beschwerdeführers im Jahre V._______ ausgeführt, dass dieser Haft keine einreiserelevante Bedeutung zukommt, zumal es sich dabei nicht um eine aktuell andauernde Verfolgung handelt und dem Beschwerdeführer der Verbleib in seiner Heimat weiterhin zugemutet werden kann. Soweit der Beschwerdeführer auf seit seiner Entlassung im Jahre V._______ weiter- und bis heute andauernde Kontrollen und Befragungen durch die örtliche Polizei hinweist, ist festzuhalten, dass diese Ereignisse vor dem Hintergrund der Bekämpfung des Terrorismus der LTTE durch die srilankische Armee zu sehen sind. So haben die srilankischen Behörden - namentlich im Grossraum Colombo - die Sicherheitsmassnahmen auch nach der Niederlage der LTTE nicht gelockert. Daher laufen aufgrund der angespannten Lage in Sri Lanka Männer tamilischer Herkunft Gefahr, überall und jederzeit von srilankischem Sicherheitspersonal einer minuziösen Personenkontrolle unterzogen und öfters auch für eingehendere Abklärungen auf den Posten mitgenommen oder in ein Armeecamp beordert zu werden. Derartigen Massnahmen kommt indessen bereits aufgrund ihrer Eingriffsdauer und Intensität kein Verfolgungscharakter zu. In Bezug auf den Beschwerdeführer stellen die geschilderten Vorfälle, auch wenn diese schon während längerer Zeit andauern sollen, - entgegen der Ansicht in der Beschwerdeschrift - noch keine ernsthaften Nachteile im Sinne des Gesetzes dar, zumal der Beschwerdeführer sich weder politisch betätigte noch irgendwelche Verbindungen zu den LTTE pflegte respektive ein entsprechender behördlicher Verdacht im Jahre V._______ gerichtlich aus dem Weg geräumt wurde. Dass er gegenüber andern srilankischen Staatsangehörigen tamilischer Ethnie allenfalls vermehrt Kontrollen der Sicherheitskräfte ausgesetzt war, kann auch dadurch erklärt werden, dass er sich gemäss eigenen Angaben als E._______ während der letzten (...) Jahre vor allem in der I._______ von Ort zu Ort begeben habe. Der Beschwerdeführer weist ferner auf verbale Bedrohungen seitens Unbekannter hin. Auch hätten bewaffnete Gruppierungen an seinem Wohnort nach ihm gefragt. Abgesehen vom Umstand, dass der Beschwerdeführer in seinen diversen Eingaben keine konkreten Details zu den erwähnten Bedrohungen, deren Urheberschaft und deren möglichen Gründe anzugeben vermag, bleibt festzuhalten, dass die von ihm geschilderten diesbezüglichen Schwierigkeiten - bei allem Verständnis für seine schwierige Situation - keine Gefährdung im Sinne von Art. 3 AsylG darstellen. So vermögen die angeführten Ereignisse zum heutigen Zeitpunkt weder zu einer objektiv begründeten Furcht vor zukünftiger Verfolgung im Sinne der zu beachtenden Bestimmungen zu führen noch vermag der Beschwerdeführer daraus einen einreiserelevanten Sachverhalt für sich abzuleiten.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Entscheidungen und Mitteilungen der Schweizerischen Asylrekurskommission [EMARK] 2006 Nr. 18 E. 10.3.2. S. 204; EMARK 1996 Nr. 28 S. 271 f.). Für den Beschwerdeführer ist nach diesen Massstäben hinreichender Schutz durch die heimatlichen Behörden gewährleistet. Nach den Erkenntnissen des Bundesverwaltungsgerichtes funktioniert der srilankische Polizei- und Justizapparat grundsätzlich und ist darauf bedacht, seine Unabhängigkeit zu wahren. Polizeiliche Aufgaben werden wahrgenommen und eine effektive Strafverfolgung wird ermöglicht. Somit sprechen vorliegend keine Gründe dafür, dass in Sri Lanka keine wirksame und funktionierende Infrastruktur zur Schutzgewährung zur Verfügung steht. Zudem ergeben sich aus den Akten keine Hinweise, dass die staatliche Schutzinfrastruktur dem Beschwerdeführer nicht zugänglich wäre und die srilankischen Behörden offensichtlich aus einem Grund nach Art. 3 AsylG nicht willens wären, ihm Schutz vor allfälligen Übergriffen der angeführten Drittpersonen zu gewähren und zu diesem Zweck konkrete und geeignete Massnahmen zu treffen. Es ist demnach davon auszugehen, dass der Beschwerdeführer objektiv Zugang zu den Strafverfolgungsbehörden hat. Den Akten zufolge hat sich der Beschwerdeführer wegen des auf ihn ausgeübten behördlichen Drucks seitens der Polizei seines Wohnortes bei derselben und an anderen Stellen beschwert. Es wird vorliegend jedoch nicht ersichtlich, dass er dies explizit wegen der Bedrohung von unbekannter Seite auch getan hätte. In seiner Rechtsmitteleingabe macht der Beschwerdeführer nichts geltend, das auf entsprechende Schritte in dieser Richtung hinweisen würde, was angesichts der Schwere der Drohungen - er bringt in seinen Eingaben vom 23. August 2007 und vom 5. September 2007 vor, Morddrohungen zu erhalten - erstaunt. Es steht dem Beschwerdeführer jedoch aufgrund obiger Ausführungen offen und ist ihm zuzumuten, sich im Bedarfsfall bei den srilankischen Behörden um Schutz zu bemühen. Schliesslich hat die Vorinstanz in diesem Zusammenhang zu Recht bemerkt, dass es diesbezüglich - trotz der offenbar bereits während längerer Zeit andauernden Bedrohung - noch nie zu einem konkreten Übergriff auf den Beschwerdeführer gekommen ist, obwohl dieser seit Jahren an der gleichen Adresse in C._______ wohnhaft ist. Unter diesen Umständen vermögen die geltend gemachten Ereignisse praxisgemäss nicht zur Anerkennung der Flüchtlingseigenschaft und zur Gewährung des Asyls zu führen.</w:t>
      </w:r>
    </w:p>
    <w:p>
      <w:r>
        <w:rPr>
          <w:b/>
        </w:rPr>
        <w:t>E. 3.4</w:t>
      </w:r>
    </w:p>
    <w:p>
      <w:r>
        <w:t>Bei dieser Sachlage und in Würdigung der gesamten Umstände und Vorbringen des Beschwerdeführers sowie der eingereichten Beweismittel ist zusammenfassend festzustellen, dass dieser die Voraussetzungen für die Bewilligung der Einreise nicht erfüllt. Es erübrigt sich angesichts der oben stehenden Ausführungen, auf die weiteren Vorbringen in der Beschwerde im Einzelnen weiter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