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D-4020/2014 vom 11. Januar 2016</w:t>
      </w:r>
    </w:p>
    <w:p>
      <w:r>
        <w:t>Bundesverwaltungsgericht, 2016-01-11, DE</w:t>
      </w:r>
    </w:p>
    <w:p>
      <w:r>
        <w:rPr>
          <w:b/>
        </w:rPr>
        <w:t xml:space="preserve">Quelle: </w:t>
      </w:r>
      <w:r>
        <w:t>https://mcp.opencaselaw.ch/entscheid/bvger_D-4020_2014</w:t>
      </w:r>
    </w:p>
    <w:p>
      <w:r>
        <w:t>FR: TAF D-4020/2014 du 11 janvier 2016</w:t>
      </w:r>
    </w:p>
    <w:p>
      <w:r>
        <w:t>IT: TAF D-4020/2014 del 11 gennaio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Die Schweizerische Bundesversammlung hat am 14. Dezember 2012 eine Revision des Asylgesetzes vom 26. Juni 1998 verabschiedet (AS 2013 4375), welche am 1. Februar 2014 in Kraft getreten ist. Gemäss Abs. 1 der diesbezüglichen Übergangsbestimmungen gilt mit Ausnahme der Absätze 2-4 für die im Zeitpunkt des Inkrafttretens hängigen Verfahren das neue Recht.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Gemäss FK sind Flüchtlinge Personen, die sich aus begründeter Furcht vor Verfolgung wegen ihrer Rasse, Religion, Staatszugehörigkeit, Zugehörigkeit zu einer bestimmten sozialen Gruppe oder wegen ihrer politischen Überzeugung ausserhalb ihres Heimatlandes befinden und deshalb Schutz nicht beanspruchen können oder wegen dieser Befürchtung nicht beanspruchen wollen (Art. 1A Abs. 2 FK).</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Vorab wird in der Beschwerde gerügt, die Vorinstanz habe den Anspruch der Beschwerdeführenden auf rechtliches Gehör durch eine (teilweise) Verweigerung der Akteneinsicht sowie der Begründungspflicht verletzt. Die Vorinstanz habe es gänzlich unterlassen, die von den Beschwerdeführenden eingereichten Beweismittel zu würdigen. Auch habe sie unter anderem nicht erwähnt, dass der von den Beschwerdeführenden erwähnte Schlepper den Reisepass und das Visum für den Beschwerdeführer besorgt und ihm zugesichert habe, für die Weiterreise zu sorgen und dem Beschwerdeführer einen gefälschten bulgarischen Reisepass zukommen zu lassen. Die Vorinstanz habe nicht erwähnt, dass der Beschwerdeführer von den in seinem Dorf angesiedelten Arabern beobachtet worden sei. Dass er von Beamten des Staatssicherheitsdienstes (AMEN DAWLA) misshandelt worden sei, die von ihm Informationen über seine Freunde, Parteimitglieder und über die Herkunft der von ihm verteilten Zeitung verlangt hätten, sei ebenso wenig erwähnt worden, wie der Umstand, dass die Misshandlungen so gravierend gewesen seien, dass er kaum noch habe gehen können. Die Vorinstanz habe die Pflicht zur vollständigen und richtigen Abklärung des rechtserheblichen Sachverhaltes verletzt.</w:t>
      </w:r>
    </w:p>
    <w:p>
      <w:r>
        <w:rPr>
          <w:b/>
        </w:rPr>
        <w:t>E. 4.1</w:t>
      </w:r>
    </w:p>
    <w:p>
      <w:r>
        <w:t>Der Anspruch auf rechtliches Gehör umfasst als Teil­aspekte einen An­spruch der Parteien auf Akteneinsicht (Art. 26 f. VwVG),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in Gestalt des Art. 29 Abs. 2 BV ergeben.</w:t>
      </w:r>
    </w:p>
    <w:p>
      <w:r>
        <w:rPr>
          <w:b/>
        </w:rPr>
        <w:t>E. 4.2</w:t>
      </w:r>
    </w:p>
    <w:p>
      <w:r>
        <w:t>Wie das SEM in seiner Vernehmlassung vom 16. April 2015 zutreffend ausgeführt hat, handelt es sich beim Aktenstück A 31/2 um eine interne Akte, die gemäss bundesgerichtlicher Praxis nicht dem Akteneinsichtsrecht unterliegt. Im Übrigen hat der Rechtsvertreter am 29. Juli 2014 Einsicht in die Akten des Bruders erhalten, mit Ausnahme der schriftlichen Begründung des positiven Asylentscheids. Zur Vermeidung von Wiederholungen kann diesbezüglich auf die zutreffenden Ausführungen des SEM in der Vernehmlassung vom 16. April 2015 verwiesen werden (vgl. vorstehend Bst. I.). Der Vollständigkeit halber ist an dieser Stelle festzuhalten, dass das SEM dem Rechtsvertreter am 7. Mai 2015 die schriftliche Begründung des positiven Asylentscheides auf eine entsprechende Anweisung des Bundesverwaltungsgerichts zugestellt hat. Unter dem Gesichtspunkt der Akteneinsicht liegt damit keine Gehörsverletzung vor. Angesichts dessen ist das entsprechende Gesuch um Einsicht in diese vorinstanzlichen Akten und um Gewährung einer Frist zur Ergänzung der Beschwerde abzuweisen.</w:t>
      </w:r>
    </w:p>
    <w:p>
      <w:r>
        <w:rPr>
          <w:b/>
        </w:rPr>
        <w:t>E. 4.3</w:t>
      </w:r>
    </w:p>
    <w:p>
      <w:r>
        <w:t>Im Zusammenhang mit der vom Beschwerdeführer in seiner Eingabe vom 17. Juli 2014 vorgetragenen Verletzung der Begründungspflicht ist festzuhalten, dass sich die verfügende Behörde nicht ausdrücklich mit jeder tatbeständlichen Behauptung und jedem rechtlichen Einwand auseinandersetzen muss, sondern sich auf die wesentlichen Gesichtspunkte beschränken darf (BGE 126 I 97 E. 2b). Eine Verletzung der Begründungspflicht ist im vorliegenden Verfahren nicht ersichtlich, weil sich die Vorinstanz mit den entscheidwesentlichen Vorbringen auseinandergesetzt hat.</w:t>
      </w:r>
    </w:p>
    <w:p>
      <w:r>
        <w:rPr>
          <w:b/>
        </w:rPr>
        <w:t>E. 4.4</w:t>
      </w:r>
    </w:p>
    <w:p>
      <w:r>
        <w:t>Im Weiteren ist bezüglich der Begründungspflicht festzuhalten, dass die drei Bedingungen für einen Verzicht auf den Wegweisungsvollzug (Unzulässigkeit, Unzumutbarkeit, Unmöglichkeit) alternativer Natur sind. Sobald eine dieser drei Bedingungen erfüllt ist, ist der Vollzug als undurchführbar zu betrachten. Vorliegend hat die Vorinstanz in der angefochtenen Verfügung infolge Unzumutbarkeit des Wegweisungsvollzugs aufgrund der allgemeinen Lage in Syrien die vorläufige Aufnahme der Beschwerdeführenden angeordnet (vgl. BVGE 2009/51 E. 5.4 mit weiteren Hinweisen). Somit erübrigt sich eine Prüfung der Unzulässigkeit des Wegweisungsvollzuges (siehe auch die nachfolgenden Erwägungen unter E. 9.4.2).</w:t>
      </w:r>
    </w:p>
    <w:p>
      <w:r>
        <w:rPr>
          <w:b/>
        </w:rPr>
        <w:t>E. 5.1</w:t>
      </w:r>
    </w:p>
    <w:p>
      <w:r>
        <w:t>Begründete Furcht vor Verfolgung im Sinne von Art. 3 Abs. 1 AsylG liegt vor, wenn ein konkreter Anlass zur Annahme besteht, letztere hätte sich - aus Sicht im Zeitpunkt der Ausreise - mit beachtlicher Wahrscheinlichkeit und in absehbarer Zeit verwirklicht oder werde sich - auch aus heutiger Sicht - mit ebensolcher Wahrscheinlichkeit in absehbarer Zeit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 (subjektive) Furcht (vgl. BVGE 2010/57 E. 2.5 mit weiteren Hinweisen).</w:t>
      </w:r>
    </w:p>
    <w:p>
      <w:r>
        <w:rPr>
          <w:b/>
        </w:rPr>
        <w:t>E. 5.2</w:t>
      </w:r>
    </w:p>
    <w:p>
      <w:r>
        <w:t>Das Gericht stellt in Übereinstimmung mit der Vorinstanz fest, dass es den Beschwerdeführenden nicht gelungen ist, die geltend gemachten Probleme in Syrien im Zusammenhang mit dem politischen Engagement des Beschwerdeführers, dessen Haft sowie die während seiner Inhaftierung erlittenen Misshandlungen glaubhaft darzulegen. In Übereinstimmung mit den Ausführungen des SEM in der angefochtenen Verfügung vom 13. Juni 2014 und in der Vernehmlassung vom 16. April 2015 ist somit festzuhalten, dass die Asylvorbringen der Beschwerdeführenden weder den Anforderungen an die Flüchtlingseigenschaft gemäss Art. 3 AsylG noch denjenigen an die Glaubhaftigkeit gemäss Art. 7 AsylG standhalten. Zur Vermeidung von Wiederholungen wird darauf verwiesen. Eine Vorverfolgung in Syrien liegt somit nicht vor. Den Eingaben der Beschwerdeführenden sind keine stichhaltigen Entgegnungen zu entnehmen, die erhobenen Bestreitungsvermerke und Behauptungen vermögen zu keiner anderen Einschätzung zu führen, weshalb von weiteren Ausführungen abgesehen werden kann. Daran ändert auch das mit Eingabe vom 18. Juni 2015 ins Recht gelegte "Benachrichtigungsschreiben für den Militärmarsch" [...] nichts. Bezeichnenderweise hat der Beschwerdeführer bis zu diesem Zeitpunkt nie eine Einberufung in den Militärdienst geltend gemacht, sondern erst, nachdem das SEM mit Vernehmlassung vom 16. April 2015 ausgeführt hat, die erwähnten Urteile im Zusammenhang mit der neuen Rechtspraxis des Bundesverwaltungsgerichts würden sich im Wesentlichen mit den Vorbringen der Refraktion in Verbindung mit politischen Aktivitäten befassen (vgl. vorstehend Bst. H. und I.), und derartige Vorbringen seien nicht Gegenstand des vorliegenden Asylgesuches.</w:t>
      </w:r>
    </w:p>
    <w:p>
      <w:r>
        <w:rPr>
          <w:b/>
        </w:rPr>
        <w:t>E. 5.3</w:t>
      </w:r>
    </w:p>
    <w:p>
      <w:r>
        <w:t>Die am 1. Februar 2014 in Kraft getretene Bestimmung von Art. 3 Abs. 4 AsylG hält zunächst fest, dass Personen, die Gründe geltend machen, die wegen ihres Verhaltens nach der Ausreise entstanden sind und weder Ausdruck noch Fortsetzung einer bereits im Heimat- oder Herkunftsstaat bestehenden Überzeugung oder Ausrichtung sind, nicht Flüchtlinge sind; diese einschränkende Feststellung wurde vom Gesetzgeber allerdings durch den ausdrücklichen Hinweis auf den Vorbehalt der Geltung der FK wieder relativiert (vgl. Art. 3 Abs. 4 in fine AsylG).</w:t>
      </w:r>
    </w:p>
    <w:p>
      <w:r>
        <w:rPr>
          <w:b/>
        </w:rPr>
        <w:t>E. 5.4</w:t>
      </w:r>
    </w:p>
    <w:p>
      <w:r>
        <w:t>Gemäss FK sind Flüchtlinge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5.5</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5.6</w:t>
      </w:r>
    </w:p>
    <w:p>
      <w:r>
        <w:t>Das SEM hat in seiner Vernehmlassung vom 16. April 2015 unter anderem ausgeführt, das sich zwar die syrischen Behörden für die exilpolitischen Aktivitäten ihrer Staatsangehörigen interessieren würden, doch sei davon auszugehen, dass sie sich dabei auf die Erfassung von Personen konzentrieren würden, die qualifizierte Aktivitäten ausübten. Diesbezüglich sei insbesondere eine öffentliche Exponierung massgebend, die aufgrund der Persönlichkeit der Asylsuchenden, der Form des Auftritts und aufgrund des Inhalts der in der Öffentlichkeit abgegebenen Erklärungen den Eindruck erwecke, ein Asylsuchender werde aus der Sicht des syrischen Regimes als potentielle Bedrohung wahrgenommen (vgl. die vorstehenden Ausführungen unter Bst. I.).</w:t>
      </w:r>
    </w:p>
    <w:p>
      <w:r>
        <w:rPr>
          <w:b/>
        </w:rPr>
        <w:t>E. 5.7</w:t>
      </w:r>
    </w:p>
    <w:p>
      <w:r>
        <w:t>Die Beschwerdeführenden machen in ihrer Rechtsmitteleingabe geltend, der Beschwerdeführer habe auch an zahlreichen Kundgebungen beziehungsweise an Parteiversammlungen der P.D.P.K.S. teilgenommen. Die Teilnahme dokumentiert er mit zahlreichen Fotografien, unter anderem von einschlägigen Websites, dem Facebook-Profil des Beschwerdeführers aber auch von Parteiversammlungen, an denen der Beschwerdeführer teilgenommen habe. Es sei deshalb davon auszugehen, dass der Beschwerdeführer im Falle einer Rückkehr nach Syrien auch zu seinen regimekritischen Tätigkeiten im Ausland befragt würde und ihm insbesondere seine Beziehungen zur exilpolitischen Bewegung in der Schweiz vorgeworfen würden. Die Asylrelevanz der geltend gemachten exilpolitischen Aktivitäten sei deshalb zu bejahen.</w:t>
      </w:r>
    </w:p>
    <w:p>
      <w:r>
        <w:rPr>
          <w:b/>
        </w:rPr>
        <w:t>E. 6.1</w:t>
      </w:r>
    </w:p>
    <w:p>
      <w:r>
        <w:t>Gemäss dem Urteil D-3839/2013 des Bundesverwaltungsgerichts vom 28. Oktober 2015 (als Referenzurteil publiziert)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kann wohl vielmehr davon ausgegangen werden, dass durch den Überlebenskampf des Regimes die syrischen Geheimdienste primär auf die Situation im Heimatland konzentriert sind (vgl. a.a.O. E. 6.3.5 S. 18), und der Schwerpunkt ihrer Aktivitäten im Ausland bei einer selektiven und gezielten Überwachung der im Ausland lebenden Opposition liegt (vgl. Urteile des BVGer E 6535/2014 vom 24. Juni 2015 E. 6.4, 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6.2</w:t>
      </w:r>
    </w:p>
    <w:p>
      <w:r>
        <w:t>Folglich ist vorliegend zu prüfen, ob die von den Beschwerdeführenden geltend gemachten exilpolitischen Tätigkeiten - insbesondere diejenigen des Beschwerdeführers - den genannten Anforderungen genügen.</w:t>
      </w:r>
    </w:p>
    <w:p>
      <w:r>
        <w:rPr>
          <w:b/>
        </w:rPr>
        <w:t>E. 6.2.1</w:t>
      </w:r>
    </w:p>
    <w:p>
      <w:r>
        <w:t>Der Beschwerdeführer macht bezüglich seiner exilpolitischen Aktivitäten geltend, er habe in der Schweiz an verschiedenen Kundgebungen beziehungsweise an Parteiversammlungen der P.D.P.K.S. teilgenommen. In diesem Zusammenhang reichte er zahlreiche Fotografien in Recht.</w:t>
      </w:r>
    </w:p>
    <w:p>
      <w:r>
        <w:rPr>
          <w:b/>
        </w:rPr>
        <w:t>E. 6.2.2</w:t>
      </w:r>
    </w:p>
    <w:p>
      <w:r>
        <w:t>Da der Beschwerdeführer keine Vorverfolgung glaubhaft machen konnte (vgl. vorstehend E. 5.3), kann ausgeschlossen werden, dass er und seine Ehefrau vor dem Verlassen Syriens als regimefeindliche Personen ins Blickfeld der Behörden geraten sind. Gestützt auf die vorliegenden Aktenlage drängt sich somit der Schluss auf, dass der Beschwerdeführer nicht der Kategorie von Personen zuzurechnen ist, die wegen ihrer Tätigkeit oder Funktionen im Exil als ernsthafte und potentiell gefährliche Regimegegner die Aufmerksamkeit der syrischen Geheimdienste auf sich gezogen haben könnten. Auch ist gestützt auf die eingereichten Beweismittel und der Angaben des Beschwerdeführers nicht davon auszugehen, dass er innerhalb einer der exilpolitisch tätigen Organisationen und Parteien eine exponierte Kaderstelle innehat. Vielmehr hat er, ähnlich wie zahlreiche andere syrische Staatsangehörige oder staatenlose Kurden syrischer Herkunft in der Schweiz und anderen europäischen Staaten an diversen Veranstaltungen gegen das syrische Regime teilgenommen. Entgegen seinen Behauptungen auf Beschwerdeebene übersteigt sein exilpolitisches Engagement die Schwelle der massentypischen Erscheinungsformen exilpolitischen Protests syrischer Staatsangehöriger nicht. Auch handelt es sich bei ihm nicht um eine für die exilpolitische Szene bedeutsame Persönlichkeit, die durch ihre exilpolitische Tätigkeit als ausserordentlich engagierter und exponierter Regimegegner aufgefallen sein könnte. Deshalb ist es nicht wahrscheinlich, dass seitens des syrischen Regimes ein besonderes Interesse an seiner Person bestehen könnte (vgl. das Referenzurteil D-3839/2013 vom 28. Oktober 2015 E. 6.4.2).</w:t>
      </w:r>
    </w:p>
    <w:p>
      <w:r>
        <w:rPr>
          <w:b/>
        </w:rPr>
        <w:t>E. 7</w:t>
      </w:r>
    </w:p>
    <w:p>
      <w:r>
        <w:t>Somit ergibt sich, dass keine asylrechtlich relevanten Verfolgungsgründe ersichtlich sind, weshalb die Vorinstanz zu Recht die Flüchtlingseigenschaft verneint und das Asylgesuch abgelehnt hat.</w:t>
      </w:r>
    </w:p>
    <w:p>
      <w:r>
        <w:rPr>
          <w:b/>
        </w:rPr>
        <w:t>E. 8.1</w:t>
      </w:r>
    </w:p>
    <w:p>
      <w:r>
        <w:t>Lehnt das BFM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AuG (SR 142.31) Anwendung (Art. 44 AsylG; vgl. BVGE 2014/26 E. 5.1).</w:t>
      </w:r>
    </w:p>
    <w:p>
      <w:r>
        <w:rPr>
          <w:b/>
        </w:rPr>
        <w:t>E. 8.2</w:t>
      </w:r>
    </w:p>
    <w:p>
      <w:r>
        <w:t>Die Beschwerdeführenden verfügen weder über eine ausländerrechtliche Aufenthaltsbewilligung noch über einen Anspruch auf Erteilung einer solchen. Die Wegweisung wurde demnach zu Recht verfügt (vgl. BVGE 2012/31 E. 6; 2011/24 E. 10.1; EMARK 2001 Nr. 21).</w:t>
      </w:r>
    </w:p>
    <w:p>
      <w:r>
        <w:rPr>
          <w:b/>
        </w:rPr>
        <w:t>E. 8.3</w:t>
      </w:r>
    </w:p>
    <w:p>
      <w:r>
        <w:t>Ist der Vollzug der Weg- oder Ausweisung nicht möglich, nicht zulässig oder nicht zumutbar, so verfügt das SEM die vorläufige Aufnahme (Art. 83 Abs. 1 AuG).</w:t>
      </w:r>
    </w:p>
    <w:p>
      <w:r>
        <w:rPr>
          <w:b/>
        </w:rPr>
        <w:t>E. 8.4.1</w:t>
      </w:r>
    </w:p>
    <w:p>
      <w:r>
        <w:t>Die Beschwerdeführenden wurden von der Vorinstanz in der angefochtenen Verfügung wegen Unzumutbarkeit des Wegweisungsvollzugs vorläufig in der Schweiz aufgenommen.</w:t>
      </w:r>
    </w:p>
    <w:p>
      <w:r>
        <w:rPr>
          <w:b/>
        </w:rPr>
        <w:t>E. 8.4.2</w:t>
      </w:r>
    </w:p>
    <w:p>
      <w:r>
        <w:t>Die drei Bedingungen für einen Verzicht auf den Vollzug der Wegweisung beziehungsweise für die Anordnung der vorläufigen Aufnahme (Unzulässigkeit, Unzumutbarkeit oder Unmöglichkeit; Art. 83 Abs. 1-4 AuG) sind alternativer Natur. Sobald eine davon erfüllt ist, ist die vorläufige Aufnahme anzuordnen. Bei Feststellung der Unzumutbarkeit des Wegweisungsvollzugs aufgrund der allgemeinen Lage in einem Staat ist deshalb genau so wenig zu prüfen, ob der Vollzug auch aus in der Person des Asylsuchenden liegenden Gründen als unzumutbar zu erachten wäre, wie die Frage, ob der Vollzug darüber hinaus auch (noch) unzulässig oder unmöglich wäre. Erst im Falle einer aufgrund einer Lageveränderung beabsichtigten Aufhebung der vorläufigen Aufnahme wäre zu prüfen, ob allenfalls in der Person begründete individuelle Umstände einem Vollzug (weiterhin) entgegenstehen. Gegen eine allfällige Aufhebung der vorläufigen Aufnahme steht wiederum die Beschwerde an das Bundesverwaltungsgericht offen (Art. 112 AuG i.V.m. Art. 84 Abs. 2 AuG; vgl. BVGE 2009/51 E. 5.4). Die vorläufige Aufnahme ist nach dem Gesagten zu Recht erfolgt.</w:t>
      </w:r>
    </w:p>
    <w:p>
      <w:r>
        <w:rPr>
          <w:b/>
        </w:rPr>
        <w:t>E. 9</w:t>
      </w:r>
    </w:p>
    <w:p>
      <w:r>
        <w:t>Aus den angestellten Erwägungen ergibt sich, dass die angefochtene Verfügung Bundesrecht nicht verletzt, den rechtserheblichen Sachverhalt richtig sowie vollständig feststellt und angemessen ist (Art. 106 Abs. 1 AsylG). Die Beschwerde ist demnach abzuweisen.</w:t>
      </w:r>
    </w:p>
    <w:p>
      <w:r>
        <w:rPr>
          <w:b/>
        </w:rPr>
        <w:t>E. 10</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