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D-4018/2010 vom 5. April 2011</w:t>
      </w:r>
    </w:p>
    <w:p>
      <w:r>
        <w:t>Bundesverwaltungsgericht, 2011-04-05, DE</w:t>
      </w:r>
    </w:p>
    <w:p>
      <w:r>
        <w:rPr>
          <w:b/>
        </w:rPr>
        <w:t xml:space="preserve">Quelle: </w:t>
      </w:r>
      <w:r>
        <w:t>https://mcp.opencaselaw.ch/entscheid/bvger_D-4018_2010</w:t>
      </w:r>
    </w:p>
    <w:p>
      <w:r>
        <w:t>FR: TAF D-4018/2010 du 5 avril 2011</w:t>
      </w:r>
    </w:p>
    <w:p>
      <w:r>
        <w:t>IT: TAF D-4018/2010 del 5 aprile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Das Verfahren richtet sich nach dem VwVG, dem VGG und dem BGG, soweit das AsylG nichts anderes bestimmt (Art. 37 VGG und Art. 6 AsylG).</w:t>
      </w:r>
    </w:p>
    <w:p>
      <w:r>
        <w:rPr>
          <w:b/>
        </w:rPr>
        <w:t>E. 1.2</w:t>
      </w:r>
    </w:p>
    <w:p>
      <w:r>
        <w:t>Die Beschwerde ist nicht in einer Amtssprache des Bundes abgefasst. Auf die Ansetzung einer Frist zur entsprechenden Beschwerdeverbesserung im Sinne von Art. 52 VwVG kann jedoch aus prozessökonomischen Gründen verzichtet werden, da - mit Ausnahme der angefochtenen Verfügung - die Zwischenverfügungen und Eingaben des vorinstanzlichen Verfahrens ebenfalls in englischer Sprache gehalten und die Rechtsmitteleingabe verständlich ist, so dass ohne weiteres darüber befunden werden kann. Der vorliegende Entscheid ergeht indessen in deutscher Sprache (Art. 33a Abs. 2 VwVG i.V.m. Art. 6 AsylG).</w:t>
      </w:r>
    </w:p>
    <w:p>
      <w:r>
        <w:rPr>
          <w:b/>
        </w:rPr>
        <w:t>E. 1.3</w:t>
      </w:r>
    </w:p>
    <w:p>
      <w:r>
        <w:t>Der Zeitpunkt der Eröffnung der angefochtenen Verfügung steht mangels Rückscheins bei den Akten nicht fest. Da indessen aus den Akten ersichtlich ist, dass die vorinstanzliche Verfügung vom 1. April 2010 von der Schweizerischen Vertretung in Colombo am 13. April 2010 versandt wurde und die Beschwerde am 30. April 2010 bei der Schweizerischen Vertretung einging, kann ohne Weiteres von der Fristwahrung ausgegangen werden.</w:t>
      </w:r>
    </w:p>
    <w:p>
      <w:r>
        <w:rPr>
          <w:b/>
        </w:rPr>
        <w:t>E. 1.4</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 mit Ausnahme des genannten, jedoch als nicht wesentlich erachteten Mangels - formgerecht eingereichte Beschwerde ist einzutreten (Art. 108 AsylG sowie Art. 105 AsylG i.V.m.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Entscheide des schweizerischen Bundesverwaltungsgerichts [BVGE] 2007/30 E. 5.7).</w:t>
      </w:r>
    </w:p>
    <w:p>
      <w:r>
        <w:rPr>
          <w:b/>
        </w:rPr>
        <w:t>E. 4.2</w:t>
      </w:r>
    </w:p>
    <w:p>
      <w:r>
        <w:t>Vorliegend wurde der Beschwerdeführer von der schweizerischen Ver­tretung in Colombo nicht zu seinen Asylgründen befragt. Er konnte seine Vorbringen indessen bereits in seinem Asylgesuch und in deren Er­gänzungen schriftlich darlegen und dokumentieren und erhielt danach mit Zwischenverfügung des BFM vom 15. Februar 2010 Gelegenheit zur weiteren Konkretisierung seiner Asylgründe; gleichzeitig wurde ihm auch das rechtliche Gehör im Hinblick auf die in Erwägung gezogene Abweisung des Asylgesuchs gewährt. Nach Ansicht des Bundesverwaltungsgerichts erscheint der entscheidwesentliche Sachverhalt - wie das BFM in seiner an­gefochtenen Verfügung zutreffend ausführt - angesichts der schriftlichen Darlegung und Dokumentierung der Asylgründe soweit erstellt, dass die entscheidrelevanten Elemente vorliegen. Das BFM hat den verfahrens­rechtlichen Anforderungen damit Genüge getan.</w:t>
      </w:r>
    </w:p>
    <w:p>
      <w:r>
        <w:rPr>
          <w:b/>
        </w:rPr>
        <w:t>E. 4.3</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massgebende Praxis der ARK in Entscheidungen und Mitteilungen der [vormaligen] Schweizerischen Asylrekurskommission [EMARK] 1997 Nr. 15, insbesondere S. 131 ff., welcher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5</w:t>
      </w:r>
    </w:p>
    <w:p>
      <w:r>
        <w:t>Aus nachfolgenden Gründen ist die Einschätzung des BFM in der angefochtenen Verfügung, wonach sich aus den wesentlichen Vorbringen des Beschwerdeführers, wegen seiner Beinprothese von den Sicherheitsbehörden mehrmals des Terrorismus und der Mitgliedschaft bei den LTTE verdächtigt und dabei am C.________ von der Armee verhaftet, dem Richter vorgeführt und wieder entlassen worden zu sein, keine asylrelevante Gefährdungssituation des Beschwerdeführers ergebe, zu bestätigen. Das BFM hat die geltend gemachte kurzzeitige Verhaftung des Beschwerdeführers am C.________ - und die übrigen Behelligungen - mangels Eingriffsintensität zu Recht als nicht asylrelevant erachtet, zumal den Akten zufolge damit keine Ein­leitung ei­nes eigentlichen Ermittlungsverfahrens verbunden gewesen sein soll; dass der - weder politisch noch für die LTTE tätige - Beschwerdeführer in der Folge erneut und zielgerichtet in den Fokus staatlicher Be­hörden geraten und deshalb allenfalls auf den Schutz der Schweiz ange­wiesen (gewesen) wäre, kann den vorhandenen Akten nicht ent­nommen werden. Im Weiteren ist auf die veränderte allgemeine Situation in Sri Lanka hinzuweisen. Nach Beendigung des Krieges und der endgültigen Niederlage der LTTE ist die Gefahr für den Beschwerdeführer, lediglich auf Grund seiner Beinprothese des Terrorismus verdächtigt zu werden, tendenziell geringer geworden. Indessen haben die srilankischen Be­hörden - namentlich im Grossraum Colom­bo - die Si­cherheitsmass­nahmen nicht gelockert. Daher besteht die Möglichkeit, überall und jederzeit von srilankischem Si­cher­heits­personal einer minuziösen Personenkontrolle unterzogen und öf­ters auch für ein­ge­hendere Ab­klä­rungen auf den Posten mit­genommen oder in ein Ar­mee­camp be­ordert zu werden. Diese so ge­nannten "Anti-Terrormass­nahmen" werden im Raum Colombo - un­besehen der Rü­gen des Supreme Courts - als repressives Instrument gegen be­fürch­tete Infilt­rationen tamilischer Separatisten angewandt. Diesen Mass­nahmen, denen ein Grossteil der tamilischen Bevölkerung im gan­zen Land und ebenso auch in Colombo ausgesetzt sind, kommt in­des aufgrund man­gelnder Intensität grundsätzlich kein Ver­fol­gungscharakter im Sin­ne von Art. 3 AsylG zu. Entsprechend vermögen die weiteren Aus­führungen des Be­schwerdeführers in den Eingaben zur generellen Gefährdungssituation seiner Person nicht zur Anerkennung der Flüchtlingseigen­schaft zu füh­ren. Er vermag mithin nicht substanziiert dar­zutun, inwiefern das BFM zu Unrecht geschlossen habe, er sei nicht schutzbedürftig im Sinne des AsylG. Die eingereichten Beweismittel belegen lediglich einzelne Angaben des Beschwerdeführers, welche vom BFM nicht in Zweifel gezogen worden sind. Auch die Hinweise des Beschwerdeführers in der Beschwerde auf die prekäre wirtschaftliche Situation seiner Familie sind als nicht asylrelevant zu erachten. 6.Somit ist es dem Beschwerdeführer nicht gelungen, eine aktuelle Gefährdung im Sinne von Art. 3 AsylG aufzuzeigen, welche die Bewilligung der Ein­reise in die Schweiz rechtfertigen würde. Die Schutzbedürftigkeit desBeschwerdeführers im Sinne von Art. 20 i.V.m. Art. 3 AsylG ist nicht gegeben. Im Übrigen ist auch eine Beziehungsnähe des Beschwerdeführers zur Schweiz zu verneinen (Art. 52 Abs. 2 AsylG). Das BFM hat dem Beschwerdeführer zu Recht die Einreise in die Schweiz verweigert und das Asylgesuch abgelehnt. 7.Aus diesen Erwägungen ergibt sich, dass die angefochtene Verfügung Bundesrecht nicht verletzt, den rechtserheblichen Sachverhalt richtig und vollständig feststellt und angemessen ist (Art. 106 Abs. 1 AsylG). Die Beschwerde ist daher abzuweisen. 8.Bei diesem Ausgang des Verfahrens wären dessen Kosten grundsätzlich dem Beschwerdeführer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