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D-4017/2013 vom 5. August 2013</w:t>
      </w:r>
    </w:p>
    <w:p>
      <w:r>
        <w:t>Bundesverwaltungsgericht, 2013-08-05, IT</w:t>
      </w:r>
    </w:p>
    <w:p>
      <w:r>
        <w:rPr>
          <w:b/>
        </w:rPr>
        <w:t xml:space="preserve">Quelle: </w:t>
      </w:r>
      <w:r>
        <w:t>https://mcp.opencaselaw.ch/entscheid/bvger_D-4017_2013</w:t>
      </w:r>
    </w:p>
    <w:p>
      <w:r>
        <w:t>FR: TAF D-4017/2013 du 5 août 2013</w:t>
      </w:r>
    </w:p>
    <w:p>
      <w:r>
        <w:t>IT: TAF D-4017/2013 del 5 agosto 2013</w:t>
      </w:r>
    </w:p>
    <w:p>
      <w:pPr>
        <w:pStyle w:val="Heading2"/>
      </w:pPr>
      <w:r>
        <w:t>Regeste</w:t>
      </w:r>
    </w:p>
    <w:p>
      <w:r>
        <w:t>Asilo (non entrata nel merito / nuova procedura d'asilo per la Svizzera)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decisione dell'UFM del 10 luglio 2013 è annullata.</w:t>
      </w:r>
    </w:p>
    <w:p>
      <w:r>
        <w:rPr>
          <w:b/>
        </w:rPr>
        <w:t>E. 3</w:t>
      </w:r>
    </w:p>
    <w:p>
      <w:r>
        <w:t>Gli atti di causa sono trasmessi all'UFM per la pronuncia di una nuova decisione ai sensi dei considerandi.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Al ricorrente non vengono assegnate spese ripetibili.</w:t>
      </w:r>
    </w:p>
    <w:p>
      <w:r>
        <w:rPr>
          <w:b/>
        </w:rPr>
        <w:t>E. 6</w:t>
      </w:r>
    </w:p>
    <w:p>
      <w:r>
        <w:t>Questa sentenza è comunicata al ricorrente, all'UFM e all'autorità cantonale. Il presidente del collegio: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