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D-4016/2013 vom 24. September 2013</w:t>
      </w:r>
    </w:p>
    <w:p>
      <w:r>
        <w:t>Bundesverwaltungsgericht, 2013-09-24, DE</w:t>
      </w:r>
    </w:p>
    <w:p>
      <w:r>
        <w:rPr>
          <w:b/>
        </w:rPr>
        <w:t xml:space="preserve">Quelle: </w:t>
      </w:r>
      <w:r>
        <w:t>https://mcp.opencaselaw.ch/entscheid/bvger_D-4016_2013</w:t>
      </w:r>
    </w:p>
    <w:p>
      <w:r>
        <w:t>FR: TAF D-4016/2013 du 24 septembre 2013</w:t>
      </w:r>
    </w:p>
    <w:p>
      <w:r>
        <w:t>IT: TAF D-4016/2013 del 24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 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Gestützt auf Art. 111a Abs. 1 AsylG wurde vorliegend auf die Durchfüh­rung eines Schriftenwechsels verzichtet.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BFM führte zur Begründung seines Entscheides zunächst aus, die ein­schlägigen Schilderungen der Beschwerdeführerin würden insge­samt schematisch erscheinen. So habe ihr die Familie nie einen Grund für die Verweigerung der Heirat gegeben, und die Beschwerdeführerin wolle sich bei ihrer Familie nie nach einem Grund erkundigt haben. Eine derar­tige Schilderung erscheine unrealistisch. Es sei vielmehr anzuneh­men, dass die Beschwerdeführerin, die in der Grossstadt C._______ aufgewachsen und wohnhaft gewesen sei, sich mit Sicherheit zumindest nach dem Grund für die Verweigerung erkundigt hätte. Auch die Schilderungen der näheren Umstände der heimlichen Treffen mit ihrem Verlobten während seiner Aufenthalte in der Türkei seien unsubstanziiert ausgefallen. Ausserdem lasse sich die gesamte Schilderung der Reisevorbe­reitungen nicht mit einer heimlichen Flucht aus dem Familienverband vereinbaren. Darüber hinaus habe sie sich in Begleitung ihrer Mutter, die sie mittler­weile eingeweiht habe, nach G._______ begeben, um ein Visum zu erhalten. Da ihre diesbezüglichen Bemühungen fehlgeschlagen seien, sei sie in G._______ mit einem Schlepper in Kontakt getreten, der ihr in der Folge ein gefälschtes Visum besorgt habe. Alsdann sei sie allein und direkt ab C._______ geflogen, was für eine reiseungewohnte und aus ihrem Fa­milienverband fliehende Person eher unwahrscheinlich erscheine. Schliesslich will die Beschwerdeführerin B._______ erst im Nachhinein von D._______ aus über ihre Flucht orientiert haben, was aufgrund der gesam­ten Umstände als ausgesprochen unwahrscheinlich zu qualifizieren sei Da ihren Famili­enangehörigen offenkundig bekannt gewesen sei, dass B._______ in der Schweiz wohnhaft sei, und dieser Umstand auf eine erhöhte "Fluchtge­fahr" hingedeutet hätte, sei davon auszugehen, dass ihr Reisevorbereitungen, insbesondere die Aufgabe ihrer Arbeitsstelle, wohl kaum unbemerkt geblieben wären. Angesichts dessen seien die einschlä­gigen Vorbringen der Beschwerdeführerin als insgesamt unglaubhaft zu bewerten.</w:t>
      </w:r>
    </w:p>
    <w:p>
      <w:r>
        <w:rPr>
          <w:b/>
        </w:rPr>
        <w:t>E. 3.2</w:t>
      </w:r>
    </w:p>
    <w:p>
      <w:r>
        <w:t>Zudem seien die Vorbringen der Beschwerdeführerin als asylrechtlich unbedeutsam zu qualifizieren. Bei den sie behelligenden Familienangehörigen handle es sich nämlich um Private ohne einen Bezug zu staatli­chen Stellen. Die Beschwerdeführerin hätte in der Stadt C._______ jederzeit die Möglichkeit gehabt, zuständige Polizei- oder Behördenstellen oder sons­tige geeignete Institutionen (wie etwas Frauen­häuser) um Schutz zu ersu­chen, was sie indessen unterlassen habe. Die verschiedenen zuständigen türkischen Behördenstellen seien heutzutage gerade auch gegenüber derartigen Fragestellungen sensibilisiert. Der be­hörd­li­che Schutzwille und die behördliche Schutzfähigkeit seien in diesem Licht klarerweise zu bejahen. Dies gelte insbesondere auch für die rasch wachsende und sich in einem raschen gesellschaftlichen Wandel befin­dende Stadt C._______. Zudem wäre die Beschwerdeführerin keineswegs auf sich allein gestellt, zumal ihr Ehemann, der sie bereits in D._______ abgeholt habe, als Inhaber der Niederlassungsbewilligung "C" gegebenenfalls jederzeit von der Schweiz aus in die Türkei hätte reisen können, um die Beschwerdeführerin in ihren Bemühungen zu unterstüt­zen. Diese verfüge zudem über eine innerstaatliche Fluchtalternative, um allfälligen erneuten Übergriffen ihrer Familienangehörigen in C._______ zu entgehen. So wäre es ihr jederzeit möglich, sich in einer anderen türki­schen Grossstadt niederzulassen. Somit sei keine begründete Furcht der Beschwerdeführe­rin ersichtlich. Die Beschwerdeführerin verfüge zudem über eine gute schulische und berufliche Ausbildung, welche ihr gegebe­nenfalls eine Eingliederung an einem beliebigen Ort in der Türkei weiter­hin erleichtern würde.</w:t>
      </w:r>
    </w:p>
    <w:p>
      <w:r>
        <w:rPr>
          <w:b/>
        </w:rPr>
        <w:t>E. 4</w:t>
      </w:r>
    </w:p>
    <w:p>
      <w:r>
        <w:t>In der Beschwerde wird der von der Beschwerdeführerin vorgetragene Sachverhalt wiederholt und, unter Bestreitung der Argumente in der vo­rinstanzlichen Verfügung, dessen Glaubhaftigkeit beteuert. Die Beschwerdeführerin sei gezwungen gewesen, ihr Heimatland zu verlassen, weil sie wegen der beabsichtigten Heirat mit ihrem heutigen Ehemann von ihrer Familie mit dem Tod bedroht worden sei. Sobald ihre Beziehung bekannt geworden sei, sei sie von ihrer Familie in "Hausarrest" gehalten worden, bis sie eine günstige Gelegenheit benützt habe, um "abzuhauen" (sic); dadurch habe sie gegen die Regeln verstossen, die sie nach Sitten und Gebräuchen ihres Heimatlandes niemals hätte verletzen dürfen. Damit habe sie die Ehre ihrer Familie verletzt. Es wird auf das Schicksal einer Cousine der Beschwerdeführerin, H._______, verwiesen, welche sich in einer ähnlichen Situation befunden habe und von ihrer eigenen Familie umgebracht worden sei, nachdem sie ihr Elternhaus verlassen und heimlich zu ihrem Freund in D._______ gezogen sei. Im Weiteren wird die Auffassung der Vorinstanz bestritten, wonach die Beschwerdeführerin gegen Bedrohungen durch ihre Familie behördlichen Schutz hätte in Anspruch nehmen können. Es sei eine bekannte Tatsa­che, dass in der Türkei jährlich Hunderte von Frauen dem Ehrenmord zum Opfer fielen.</w:t>
      </w:r>
    </w:p>
    <w:p>
      <w:r>
        <w:rPr>
          <w:b/>
        </w:rPr>
        <w:t>E. 5</w:t>
      </w:r>
    </w:p>
    <w:p>
      <w:r>
        <w:t>Nach Prüfung der Akten durch das Gericht ist die Einschätzung durch die Vorinstanz zu bestätigen, sowohl was die Unglaubhaftigkeit der Vorbrin­gen als auch deren asylrechtliche Unerheblichkeit betrifft.</w:t>
      </w:r>
    </w:p>
    <w:p>
      <w:r>
        <w:rPr>
          <w:b/>
        </w:rPr>
        <w:t>E. 5.1</w:t>
      </w:r>
    </w:p>
    <w:p>
      <w:r>
        <w:t>Wie die Vorinstanz zu Recht ausführt, ist es überhaupt nicht plausibel und unrealistisch, dass die Familie gegen die Verbindung der Beschwerdeführerin mit dem aus dem gleichen Dorf stammenden B._______ eingestellt gewesen sei, ohne dass sie ihr einen Grund für die Ablehnung angegeben hätte, und dass es der Beschwerdeführerin nicht einmal in den Sinn gekommen wäre, ihre Eltern nach dem Grund für die Ablehnung zu fragen. Schon dies allein legt den Schluss nahe, dass es sich um eine erfundene Geschichte handelt. Dieser Schluss wird verstärkt durch die wenig plausiblen Umstände, wie die Beschwerdeführerin ihre angeblich heimliche (allerdings trotzdem mit Hilfe ihrer Mutter organisierte) Ausreise schilderte. Gleiches gilt für die Schilderung der Beschwerdeführerin ihrer angeblichen heimlichen Treffen mit ihrem heutigen Ehemann, welche, wie die Vorinstanz zu Recht bemerkt, keinerlei Realkennzeichen aufweist. Es kann auf die Einzelheiten in der Begründung der angefochtenen Verfü­gung verwiesen werden.</w:t>
      </w:r>
    </w:p>
    <w:p>
      <w:r>
        <w:rPr>
          <w:b/>
        </w:rPr>
        <w:t>E. 5.2</w:t>
      </w:r>
    </w:p>
    <w:p>
      <w:r>
        <w:t>Soweit auf Beschwerdeebene geltend gemacht wird, den türkischen Behörden fehle es sowohl an Schutz- als auch an Willensfähigkeit, die von (häuslicher) Gewalt betroffenen Frauen vor ihren Peinigern zu schüt­zen, ist Folgendes festzuhalten: Im Jahr 1990 wurden die offiziell als "Gästehäuser" bekannten Frauenhäuser in der Türkei eröffnet, um Hilfe für Opfer von häuslicher verbaler, emotionaler, wirtschaftlicher, sexueller oder körperlicher Gewalt zu bieten. Die Einrichtungen sind bemüht, die Frauen derart zu stärken, dass sei am Ende wirtschaftliche Unabhängig­keit erlangen können und helfen auch bei der Lösung psychologischer oder sozialer Probleme mit denen sich die Hilfesuchenden konfrontiert sehen (vgl. www.deutsch-tuerkische-nachrichten.de &gt; Häusliche Gewalt in der Türkei: Rund 11.000 Frauen in staatlicher Obhut, vom 3. Dezember 2012, aufgerufen am 12. August 2013). Das Ministerium arbeitet am Aus­bau der Infrastruktur, um sicherzustellen, dass in jeder türkischen Provinz mindestens eine dieser Zufluchtstätten vorhanden ist. Mit Stand vom 19. November 2012 betrug die Anzahl der türkischen Frauenhäuser 76 (vgl. a.a.O). Auf dem 30. Kongress über die Beseitigung jeder Form von Diskriminierung der Frau in der Türkei (CEDAW) sagte Fatma ahin, die türkische Familienministerin, dass die Aktionen gegen diejenigen, die Ge­walt gegen Frauen anwenden würden, verstärkt worden seien (vgl. www.deutsch-tuerkische-nachrichten.de&gt; Familienministerin ahin: "Häusliche Gewalt ist schlimmer als Rassismus", vom 3. November 2012, aufgerufen am 12. August 2012). Im Jahr 2011 hat die Türkei eine neue europäische Konvention unterzeichnet, mit welcher der Europarat konkret gegen häusliche Gewalt vorgehen will. Die neue europäische Konvention soll Frauen besser vor Gewalt und häuslichen Übergriffen schützen. Die entsprechenden Übereinkunft wurde bei einem Aussenministertreffen des Europarates von 13 Staaten unterzeichnet, unter anderem von Deutschland, Österreich und der Türkei. In dem Dokument verpflichten sich die Staaten erstmals auf ein konkretes Vorgehen gegen häusliche Gewalt (vgl. www.zeit.de &gt; Gesellschaft &gt; Neue Konvention &gt; Europarat be­kämpft Gewalt gegen Frauen, vom 11. Mai 2011, aufgerufen am 12. Au­gust 2013). Dass die Türkei die Konvention in den Verhandlungen unter­stützt und unterzeichnet hat, gilt als Erfolg (vgl. a.a.O.). So wird denn auch die Konvention von Menschenrechtlern als bahnbrechend be­zeichnet. Ein Vertreter der Organisation "Human Righs Watch" sagte, es handle sich dabei um das erste, rechtliche verbindliche internationale Dokument, das einen übergreifenden rechtlichen Rahmen zur Bekämp­fung von Gewalt gegen Frauen schaffe (vgl. a.a.O.). Anfang März 2012 wurde in der Türkei ein Gesetz verabschiedet, das Frauen besser vor häuslicher Gewalt schützen soll. Die wichtigste Neuerung dieses Geset­zes ist, dass alle Frauen unabhängig von ihrem Beziehungsstatus An­recht auf Schutz haben. Ausserdem soll die Polizei nun schneller auf Anzeigen und Hilfegesuche durch Betroffene reagieren (vgl. www.big-ber­lin.info &gt; BIG newsletter Ausgabe 33 // Juni 2012 &gt; Türkei &gt; Neues Ge­setz zum Schutz vor häuslicher Gewalt, aufgerufen am 12. August 2013). Ausserdem wurden unter dem Gesetz 6284 über die Verhütung von Ge­walt gegen Frauen vorbeugende Massnahmen gegen häusliche Gewalt und Missbrauch geregelt (vgl. www.deutsch-tuerkische-nachrich­ten.de &gt; Häusliche Gewalt in der Türkei: Rund 11.000 Frauen in staatli­cher Obhut, vom 3. Dezember 2012, aufgerufen am 12. August 2013), aufgerufen am 12. August 2013). Zudem wurden unter diesem Gesetz 14 neue Zentren zur Gewaltprävention und Überwachung ( ÖNIM) geschaffen, weitere seien geplant, und bis Ende dieses Jahres sollten jede Provinz über eines dieser Zentren verfügen (vgl. a.a.O.). Auch wenn es, wie in der Beschwerde vorgebracht und an sich nicht zu bestreiten ist, in der Türkei nach wie vor häufig Ehrenmorde geschehen, so bedeutet dies keineswegs, dass die von bedrohten Frauen innerfamiliären Übergriffen völlig schutzlos ausgeliefert wären. Vielmehr zeigt sich gemäss vorstehenden Ausführungen, dass die türkischen Behörden entschlossen sind, gegen das Phänomen der Ehrenmorde effektiv vorzugehen und dass sie grundsätzlich auch in der Lage sind, Schutz zu gewähren. Daran vermag auch der Hinweis auf den Fall einer gewissen H._______ nichts ändern, zumal ohnehin nicht belegt ist, dass es sich bei dem angeblichen Opfer eines Ehrenmordes tatsächlich um eine Verwandte der Beschwerdeführerin handelt. Entgegen den anderslautenden Ausführungen auf Beschwerdeebene ist somit in Übereinstimmung mit der Vorinstanz vom behördlichen Schutzwillen und der behördlichen Schutzfähigkeit auszugehen. Es kann im Übrigen auch hierzu auf die zutreffenden Erwägungen in der angefochtenen Verfügung der Vorinstanz verwiesen werden.</w:t>
      </w:r>
    </w:p>
    <w:p>
      <w:r>
        <w:rPr>
          <w:b/>
        </w:rPr>
        <w:t>E. 5.3</w:t>
      </w:r>
    </w:p>
    <w:p>
      <w:r>
        <w:t>Zusammenfassend ist festzustellen, dass es der Beschwerdeführerin nicht gelungen ist, nachzuweisen oder glaubhaft zu machen, dass sie in der Heimat ernsthafte Nachteile gemäss Art. 3 AsylG erlitten hat, solche bei der Ausreise zu befürchten hatte oder bei einer Rückkehr in die Türkei befürchten müsste. Sie erfüllt somit die Voraussetzungen zur Zuerken­nung der Flüchtlingseigenschart nicht, weshalb die Vorinstanz ihr Asylbegehren zu Recht abgelehnt hat. Es erübrigt sich deshalb, auf die weiteren Vorbringen in der Rechtsmitteleingabe sowie die eingereichten Be­weismittel im Einzelnen einzugehen, da sie an obiger Erkenntnis nicht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6.2.1</w:t>
      </w:r>
    </w:p>
    <w:p>
      <w:r>
        <w:t>Die Beschwerdeführerin ist seit dem 31. Dezember 2010 mit einem türkischen Staatsangehörigen verheiratet, der im Besitze einer Niederlas­sungsbewilligung "C" ist. Damit verfügt sie grundsätzlich über einen An­spruch auf Erteilung einer ausländerrechtlichen Aufenthaltsbewilligung (vgl. Art. 42 Abs. 2 und Art. 43 Abs. 1 AuG). Nach ständiger Praxis (vgl. dazu Entscheidungen und Mitteilungen der ehemaligen Schweizerischen Asylrekurskommission [EMARK] 2001 Nr. 21 E. 8.d), fallen die konkrete Beurteilung des geltend gemachten Anspruchs und damit auch der Ent­scheid über die Wegweisung in die Zuständigkeit der kantonalen Migrationsbehörden.</w:t>
      </w:r>
    </w:p>
    <w:p>
      <w:r>
        <w:rPr>
          <w:b/>
        </w:rPr>
        <w:t>E. 6.2.2</w:t>
      </w:r>
    </w:p>
    <w:p>
      <w:r>
        <w:t>Mit Entscheid vom 23. August 2011 hat die zuständige kantonale Behörde der Beschwerdeführerin die Frage eines Anspruchs auf eine Auf­enthaltsbewilligung im Rahmen des Familiennachzuges geprüft und die Erteilung einer solchen verweigert. Mit Entscheid des Sicherheits- und Justizdepartementes des Kantons St. Gallen vom 27. November 2012 wurde ein gegen diesen Entscheid erhobener Rekurs abgewiesen. Dieser Entscheid ist von der Beschwerdeführerin offenbar nicht weitergezogen worden. Somit ist die Frage eines Anspruchs auf Aufenthaltsberechtigung verbindlich entschieden (vgl. EMARK 2001 Nr. 21 S. 178 f.), und damit auch in präjudizieller Weise die Frage der Wegweisung und der Zulässig­keit des Wegweisungsvollzugs unter dem Aspekt von Art. 3 EMRK. Die Wegweisung wurde demnach von der Vorinstanz zu Recht angeordnet (Art. 44 Abs. 1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die Türkei ist demnach unter dem Aspekt von Art. 5 AsylG rechtmässig. Sodann ergeben sich weder aus den Aussagen der Beschwerdeführerin noch aus den Akten Anhaltspunkte dafür, dass sie für den Fall einer Aus­schaffung in die Türkei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7.4</w:t>
      </w:r>
    </w:p>
    <w:p>
      <w:r>
        <w:t>Was die Zulässigkeit des Vollzugs unter dem Aspekt von Art. 8 EMRK betrifft, kann auf das in E. 6.2.2 hiervor gesagte verwiesen werden.</w:t>
      </w:r>
    </w:p>
    <w:p>
      <w:r>
        <w:rPr>
          <w:b/>
        </w:rPr>
        <w:t>E. 7.5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der Türkei herrscht keine Situation allgemeiner Gewalt, weshalb in kon­stanter Praxis von einer generellen Zumutbarkeit des Wegweisungsvoll­zugs dorthin ausgegangen wird. Auch besteht aufgrund der Akten kein Grund zur Annahme, die Beschwerdeführerin gerate im Falle einer Rück­kehr in die Türkei aus individuellen Gründen wirtschaftlicher, sozialer oder gesundheitlicher Natur in eine existenzbedrohende Situation, die den Vollzug der Wegweisung als unzumutbar erscheinen liesse. Die Beschwerdeführerin verfügt über eine 12-jährige Schulbildung und hat vor ihrer Ausreise als Coiffeuse gearbeitet. Ihre gute schulische und berufli­che Ausbildung wird ihr gegebenenfalls eine Eingliederung in der Türkei erleichtern, wo sie gestützt auf die mit ihrer Staatsangehörigkeit verbundenen Niederlassungsfreiheit an jedem beliebigen Ort Wohnsitz nehmen kann. In Bezug auf ihre familiäre Konstellation ist in Übereinstimmung mit der Vorinstanz anzumerken, dass die zuständigen kantonalen Behörden das Gesuch um Erteilung einer Aufenthaltsbewilligung im Rahmen des Familiennachzuges umfassend und insbesondere unter dem Aspekt von Art. 8 der Konvention vom 4. November 1950 zum Schutze der Menschenrechte und Grundfreiheiten (EMRK, SR 0.101) geprüft und rechtskräftig abgelehnt haben. Infolge der materiellen Rechtskraft des kantonalen Entscheids konnte dieser Aspekt nicht mehr Gegenstand einer erneuten Beurteilung im Rahmen des vorinstanzlichen sowie des vorliegenden Verfahrens sein ("res iudicata"). Nach dem Gesagten erweist sich der Vollzug der Wegweisung auch als zumutbar.</w:t>
      </w:r>
    </w:p>
    <w:p>
      <w:r>
        <w:rPr>
          <w:b/>
        </w:rPr>
        <w:t>E. 7.6</w:t>
      </w:r>
    </w:p>
    <w:p>
      <w:r>
        <w:t>Schliesslich obliegt es der Beschwerdeführerin,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7.7</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w:t>
      </w:r>
    </w:p>
    <w:p>
      <w:r>
        <w:t>Das Gesuch um Verzicht auf die Erhebung eines Kostenvorschusses ist angesichts des vorliegenden Entscheids in der Hauptsache gegenstands­los geworden.</w:t>
      </w:r>
    </w:p>
    <w:p>
      <w:r>
        <w:rPr>
          <w:b/>
        </w:rPr>
        <w:t>E. 10</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