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D-4001/2013 vom 22. Oktober 2013</w:t>
      </w:r>
    </w:p>
    <w:p>
      <w:r>
        <w:t>Bundesverwaltungsgericht, 2013-10-22, DE</w:t>
      </w:r>
    </w:p>
    <w:p>
      <w:r>
        <w:rPr>
          <w:b/>
        </w:rPr>
        <w:t xml:space="preserve">Quelle: </w:t>
      </w:r>
      <w:r>
        <w:t>https://mcp.opencaselaw.ch/entscheid/bvger_D-4001_2013</w:t>
      </w:r>
    </w:p>
    <w:p>
      <w:r>
        <w:t>FR: TAF D-4001/2013 du 22 octobre 2013</w:t>
      </w:r>
    </w:p>
    <w:p>
      <w:r>
        <w:t>IT: TAF D-4001/2013 del 22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Regel entscheidet das Bundesverwaltungsgericht in der Besetzung mit drei Richtern oder drei Richterinnen. Gestützt auf Art. 111a Abs. 1 AsylG wurde vorliegend auf die Durchführung eines Schriftenwechsels verzichtet.</w:t>
      </w:r>
    </w:p>
    <w:p>
      <w:r>
        <w:rPr>
          <w:b/>
        </w:rPr>
        <w:t>E. 4.1</w:t>
      </w:r>
    </w:p>
    <w:p>
      <w:r>
        <w:t>Der Beschwerdeführer macht in formeller Hinsicht geltend, dass das Recht auf Anhörung verletzt worden sei, indem die Vorinstanz ihn nicht in seiner Muttersprache angehört habe. Ausserdem sei sie in Verletzung des von den Behörden anzuwendenden Untersuchungsgrundsatzes der gebotenen Begründungspflicht nicht in genügendem Mass nachgekommen und habe den rechtserheblichen Sachverhalt nur ungenügend abgeklärt. Unter diesen Umständen sei die angefochtene Verfügung infolge Verletzung des Grundsatzes von formellen Vorschriften an die Vorinstanz zurückzuweisen, damit diese einen neuen Entscheid fällen könne.</w:t>
      </w:r>
    </w:p>
    <w:p>
      <w:r>
        <w:rPr>
          <w:b/>
        </w:rPr>
        <w:t>E. 4.2</w:t>
      </w:r>
    </w:p>
    <w:p>
      <w:r>
        <w:t>Diese verfahrensrechtlichen Rügen sind vorab zu prüfen, da sie allenfalls geeignet wären, eine Kassation der vorinstanzlichen Verfügung zu bewirken.</w:t>
      </w:r>
    </w:p>
    <w:p>
      <w:r>
        <w:rPr>
          <w:b/>
        </w:rPr>
        <w:t>E. 4.3</w:t>
      </w:r>
    </w:p>
    <w:p>
      <w:r>
        <w:t>Aus dem Anspruch auf rechtliches Gehör (Art. 29 Abs. 2 der Bundesverfassung der Schweizerischen Eidgenossenschaft vom 18. April 1999 [BV; SR 101]; Art. 29 ff. VwVG i.V.m. Art. 6 und Art. 29 AsylG) ergibt sich, dass Asylsuchenden das Recht zur Äusserung (vgl. Art. 30 Abs. 1 VwVG) sowie die Möglichkeit, Einfluss auf die Ermittlung des rechtserheblichen Sachverhalts zu nehmen, zu gewähren ist. Daraus wieder ist der Grundsatz, dass sie in einer ihnen verständlichen Sprache anzuhören sind, abzuleiten (Art. 29 Abs. 1bis AsylG). Ausserdem haben die verfügenden Behörden ihrer Pflicht zur Begründung in genügender Weise nachzukommen.</w:t>
      </w:r>
    </w:p>
    <w:p>
      <w:r>
        <w:rPr>
          <w:b/>
        </w:rPr>
        <w:t>E. 4.4</w:t>
      </w:r>
    </w:p>
    <w:p>
      <w:r>
        <w:t>In casu ist deshalb zu prüfen, ob die auf Beschwerdeebene erhobenen Rügen, das BFM habe mehrfach gegen formelles Recht verstossen, gerechtfertigt sind.</w:t>
      </w:r>
    </w:p>
    <w:p>
      <w:r>
        <w:rPr>
          <w:b/>
        </w:rPr>
        <w:t>E. 4.4.1</w:t>
      </w:r>
    </w:p>
    <w:p>
      <w:r>
        <w:t>Dabei stellt sich vorliegend zunächst die Frage, ob die Anhörung des Beschwerdeführers in Urdu, welches nicht seine Muttersprache sei, gegen formelles Recht verstösst. Der Beschwerdeführer legte von Anfang an offen, dass seine Muttersprache Belutschi sei und nicht Urdu, die für Befragung zur Person und für die Anhörung verwendete Sprache (vgl. Akte A5/12 S. 2 und 4). Gleichzeitig erklärte er aber auch, dass er die dolmetschende Person in Urdu verstehe, wenn sie langsam spreche (vgl. Akte A5/12 S. 2) und dass Urdu für die Anhörung genüge (vgl. Akte A5/12 S. 4). Am Schluss der Befragung bestätigte er, die dolmetschende Person gut verstanden zu haben (vgl. Akte A5/12 S. 9), weshalb das BFM davon ausgehen durfte, die Anhörung könne in dieser Sprache stattfinden. Anlässlich der Anhörung brachte er dann vor, sein Urdu sei nicht so gut (vgl. Akte A18/17 S. 1), er bitte deshalb darum, dass etwas wiederholt werde, wenn er es nicht verstanden habe, was ihm von der befragenden Person ohne Weiteres zugestanden wurde (vgl. Akte A18/17 S. 2). Am Ende der Anhörung unterzeichnete der Beschwerdeführer beide ihm rückübersetzten Protokolle vorbehaltlos (vgl. Akte A18/17 S. 16), womit er zum Ausdruck brachte, dass er mit dem darin enthaltenen Sachverhalt einverstanden ist. Daraus wiederum ist zu schliessen, dass er ihn auch verstanden haben muss, da er andernfalls Einwände oder Fragen hätte anbringen müssen, was indessen nicht der Fall ist. Weder machte er sprachliche oder Verständigungsschwierigkeiten geltend noch ergeben sich aus den beiden Protokollen auf andere Art Missverständnisse oder sprachliche Probleme, welche auf Verständigungsschwierigkeiten zurückzuführen wären. Dass das BFM eine dolmetschende Person in Urdu und nicht in der Muttersprache des Beschwerdeführers einsetzte, weil eine solche nicht zur Verfügung stand, ist somit nicht zu beanstanden, auch wenn sich der Beschwerdeführer möglicherweise in seiner Muttersprache differenzierter oder genauer hätte ausdrücken können, da der für die Beurteilung notwendige Sachverhalt - entgegen der Argumentation in der Beschwerde - auch mit einer dolmetschenden Person in Urdu festgestellt werden konnte. Folglich hat das BFM mit der Anhörung in Urdu das Recht auf Anhörung in einer verständlichen Sprache, das aus dem Anspruch auf rechtliches Gehör fliesst, nicht verletzt.</w:t>
      </w:r>
    </w:p>
    <w:p>
      <w:r>
        <w:rPr>
          <w:b/>
        </w:rPr>
        <w:t>E. 4.4.2</w:t>
      </w:r>
    </w:p>
    <w:p>
      <w:r>
        <w:t>Des Weiteren machte der Beschwerdeführer geltend, die Asylbehörden hätten den Untersuchungsgrundsatz verletzt, indem sie nicht weiter instruiert und damit den Sachverhalt nur ungenügend abgeklärt hätten. Zunächst ist darauf hinzuweisen, dass der Beschwerdeführer gestützt auf Art. 8 AsylG verpflichtet ist, bei der Feststellung des Sachverhalts mitzuwirken. Insbesondere liegt es gestützt auf diese Norm an ihm, allfällige Beweismittel von sich aus unaufgefordert einzureichen (vgl. Art. 8 Abs. 1 Bst. d AsylG). Entgegen der Argumentation in der Beschwerde ist es nicht Aufgabe der Behörden, vom Beschwerdeführer in einem Instruktionsverfahren irgendwelche Beweismittel zu verlangen, es sei denn, dies dränge sich aufgrund der bestehenden Sachlage aus einem konkreten Grund auf. Vorliegend indessen ergibt sich aus den Akten keine solche Notwendigkeit und die vom Beschwerdeführer im Beschwerdeverfahren nachgereichten Beweismittelkopien sind grösstenteils Kopien aus dem Internet, in welche die Behörden bei Bedarf ohnehin selber Einsicht nehmen können, da ihnen am Arbeitsplatz der Zugang zum Internet gewährleistet ist. Somit vermag auch dieser gerügte formelle Mangel nicht zu überzeugen.</w:t>
      </w:r>
    </w:p>
    <w:p>
      <w:r>
        <w:rPr>
          <w:b/>
        </w:rPr>
        <w:t>E. 4.4.3</w:t>
      </w:r>
    </w:p>
    <w:p>
      <w:r>
        <w:t>Wie sich aus den nachfolgenden Erwägungen (betreffend materieller Beurteilung der Asylvorbringen und der Wegweisungsvollzugshindernisse) überdies ergibt, wurde der Sachverhalt von der Vorinstanz in rechtsgenüglicher Weise erstellt, um die Vorbringen des Beschwerdeführers einer Entscheidung zuführen zu können, womit der Untersuchungsgrundsatz nicht verletzt worden ist. Auch wenn das BFM in seiner knappen - aber vorliegend durchaus genügenden - Begründung die Vorbringen, der Beschwerdeführer sei Angehöriger der (...) Ethnie und habe für einen der Führer aus M._______ gearbeitet, der in der Schweiz um Asyl ersuche, nicht ausdrücklich in seinen Erwägungen erwähnt hat, vermag die Begründung des BFM zu überzeugen, wie die nachfolgenden Erwägungen zeigen werden. Eine Verletzung des Untersuchungsgrundsatzes liegt somit auch in dieser Beziehung nicht vor.</w:t>
      </w:r>
    </w:p>
    <w:p>
      <w:r>
        <w:rPr>
          <w:b/>
        </w:rPr>
        <w:t>E. 4.5</w:t>
      </w:r>
    </w:p>
    <w:p>
      <w:r>
        <w:t>Insgesamt sind der angefochtenen Verfügung keine hinreichenden Anhaltspunkte zu entnehmen, welche den Schluss zuliessen, das BFM habe den Untersuchungsgrundsatz und seine Begründungspflicht beziehungsweise den Grundsatz der Gewährung des rechtlichen Gehörs verletzt. Damit besteht kein Anlass, die angefochtene Verfügung wegen Verletzung formellen Rechts aufzuheben und die Sache zur Neubeurteilung an das BFM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der Durchsicht der Akten gelangt das Bundesverwaltungsgericht zum Schluss, dass die angefochtene Verfügung zu bestätigen ist. Wie das BFM zutreffend feststellte, verliess der Beschwerdeführer mit seinen Angehörigen sein Herkunftsgebiet infolge der dort herrschenden Unsicherheit.</w:t>
      </w:r>
    </w:p>
    <w:p>
      <w:r>
        <w:rPr>
          <w:b/>
        </w:rPr>
        <w:t>E. 6.2</w:t>
      </w:r>
    </w:p>
    <w:p>
      <w:r>
        <w:t>Für die Begründetheit eines Asylgesuchs muss das Erfordernis einer gezielten und genügend intensiven Verfolgung bestehen; es genügt nicht, auf die allgemein schlechte Menschenrechtslage im Herkunftsland oder die systematische Benachteiligung der eigenen Volksgruppe hinzuweisen.</w:t>
      </w:r>
    </w:p>
    <w:p>
      <w:r>
        <w:rPr>
          <w:b/>
        </w:rPr>
        <w:t>E. 6.3</w:t>
      </w:r>
    </w:p>
    <w:p>
      <w:r>
        <w:t>Nachfolgend ist - zumal sich der Beschwerdeführer primär auf solche Gründe bezieht - zu prüfen, ob die allgemeine Situation der F._______ in M._______ beziehungsweise in Pakistan zur Annahme einer Kollektivverfolgung führt. Dabei sind die Anforderungen an die Feststellung einer Kollektivverfolgung gemäss geltender Praxis (vgl. Urteil des Bundesverwaltungsgerichts vom 26. Januar 2009 i.S. E-4581/2008, mit Hinweis auf die bisherige Praxis) sehr hoch. Gemäss schweizerischer Asylpraxis reicht allein die Zugehörigkeit zu einem Kollektiv, welches in seinen spezifischen Eigenschaften Ziel einer Verfolgungsmotivation ist, in der Regel nicht aus,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beurteilt werden können. Es ist allgemein bekannt und wird auch in öffentlich zugänglichen Medien festgehalten (vgl. beispielsweise die eingereichten Beweismittelkopien), dass es in M._______ zu Spannungen, Angriffen und Anschlägen unter den verschiedenen Ethnien sowie zwischen Regierungstruppen und den verschiedenen ethnischen Gruppierungen kommt, wobei in vielen Fällen auch die Zivilbevölkerung betroffen ist. In diesem Zusammenhang sind auch der vom Beschwerdeführer geltend gemachte Tod seines Vaters, seiner Schwägerin und seines Bruders zu sehen. Indessen kann nicht davon ausgegangen werden, dass Angehörige der F._______ in ganz Pakistan grundsätzlich verfolgt werden, auch wenn dies in der Beschwerde mit der Behauptung, allein die Zugehörigkeit des Beschwerdeführers zur (...) Ethnie stelle einen asylrelevanten Verfolgungsgrund dar, sinngemäss vorgebracht wurde. Vielmehr ist dem BFM beizupflichten, dass dem Beschwerdeführer - wie seinen Angehörigen, welche sich angeblich in B._______ aufhalten sollen - eine Wohnsitznahme in einem andern Gebiet Pakistans offenstehen, wo es weniger Spannungen unter den Ethnien und damit weniger offen ausgetragene Konflikte gibt. Dem gemäss Aktenlage jungen und gesunden Beschwerdeführer ist es zuzumuten, sich mit seinen Angehörigen in einem andern Teil seines Heimatlandes niederzulassen und sich dort eine Existenzgrundlage zu schaffen, zumal in Pakistan die Niederlassungsfreiheit gilt und bereits zahlreiche Familien von dieser Möglichkeit Gebrauch machten, um weiteren drohenden Nachteilen ausweichen zu können. Als Landwirt wird er auch an einem andern als seinem angestammten Ort Verdienstmöglichkeiten finden. Die Furcht des Beschwerdeführers, von der pakistanischen Armee umgebracht zu werden, weil er ein Angehöriger der F._______ sei, ist somit nicht begründet.</w:t>
      </w:r>
    </w:p>
    <w:p>
      <w:r>
        <w:rPr>
          <w:b/>
        </w:rPr>
        <w:t>E. 6.4</w:t>
      </w:r>
    </w:p>
    <w:p>
      <w:r>
        <w:t>Darüber hinaus kann den Akten nicht entnommen werden, dass der Beschwerdeführer individuell und gezielt gegen ihn gerichtete asylrelevante Verfolgungsmassnahmen zu befürchten hat. An dieser Einschätzung vermögen seine Einwände in der Beschwerde, er habe für L._______, der in der Schweiz Asylbewerber sei, auf dessen Ländereien gearbeitet und befürchte auch aus diesem Grund Nachteile im Sinne des Gesetzes, nichts zu ändern. Einerseits ist nicht jede Person, welche für eine andere Person gearbeitet hat, die um Asyl ersucht, allein aufgrund der gleichen Stammeszugehörigkeit einer asylerheblichen Gefährdung ausgesetzt, zumal in diesem Fall primär Kollektivverfolgung geltend gemacht würde, welche indessen - wie bereits erwähnt - aufgrund der Möglichkeit, in einem andern Teil des Heimatlandes Wohnsitz zu nehmen, zu verneinen ist. Andererseits machte der Beschwerdeführer keine nahe Beziehung zu L._______ geltend. Er sagt aus, dieser Mann gehöre nicht zur Familie (vgl. Akte A5/12 S. 8), und brachte im Übrigen keine nähere Verbindung ausser der Bearbeitung des Landes zwischen seiner Familie und L._______ zum Ausdruck. Im Übrigen legte er dar, er sei politisch nicht aktiv und auch nie im Gefängnis gewesen (vgl. Akte A5/12 S. 8). Unter diesen Umständen erscheint die in der Beschwerde dargestellte politische Verbindung zwischen dem Beschwerdeführer und L._______ und die darauf basierende Furcht vor asylrelevanter Verfolgung nicht überzeugend und kann nicht geglaubt werden.</w:t>
      </w:r>
    </w:p>
    <w:p>
      <w:r>
        <w:rPr>
          <w:b/>
        </w:rPr>
        <w:t>E. 6.5</w:t>
      </w:r>
    </w:p>
    <w:p>
      <w:r>
        <w:t>Aus diesen Erwägungen folgt, dass der Beschwerdeführer - insbesondere unter Inanspruchnahme der ihm zuzumutenden innerstaatlichen Fluchtalternative - aufgrund seiner blossen Volkszugehörigkeit, aufgrund seiner Zugehörigkeit zum Clan der N._______ und aufgrund seiner beruflichen Dienste für L._______ in absehbarer Zukunft und mit überwiegender Wahrscheinlichkeit keine Verfolgungsmassnahmen im Sinne von Art. 3 AsylG zu befürchten hat.</w:t>
      </w:r>
    </w:p>
    <w:p>
      <w:r>
        <w:rPr>
          <w:b/>
        </w:rPr>
        <w:t>E. 6.6</w:t>
      </w:r>
    </w:p>
    <w:p>
      <w:r>
        <w:t>Aufgrund dieser Erwägungen erübrigen sich Zeugenaussagen, weshalb die Anträge, es seien Zeugen anzuhören beziehungsweise näher auf die der Beschwerde beigelegten Akten einzugehen, abzuweisen sind. Die eingereichten Beweismittel haben - mit Ausnahme der kopierten Fotos - keinen speziellen Bezug zur Person des Beschwerdeführers, sondern beschränken sich auf die allgemeine Situation in seinem Heimatland, weshalb sie in Bezug auf die Vorbringen des Beschwerdeführers weder aussagekräftig noch geeignet sind, zu einer andern Einschätzung zu führen. Bezüglich der kopierten Fotos ist darauf hinzuweisen, dass blosse Kopien infolge der Möglichkeit, Manipulationen anzubringen, ebenfalls nicht beweistauglich sind und überdies nicht erkennbar ist, was der Beschwerdeführer mit diesen kopierten Fotos belegen möchte. Auch sie vermögen somit an der vorgenommenen Einschätzung nichts zu ändern.</w:t>
      </w:r>
    </w:p>
    <w:p>
      <w:r>
        <w:rPr>
          <w:b/>
        </w:rPr>
        <w:t>E. 6.7</w:t>
      </w:r>
    </w:p>
    <w:p>
      <w:r>
        <w:t>Zusammenfassend folgt, dass der Beschwerdeführer keine Gründe nach Art. 3 AsylG nachweisen oder glaubhaft machen kann. Das BFM hat sein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indessen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Pakistan herrscht zur Zeit weder Krieg, Bürgerkrieg noch liegt eine Situation allgemeiner Gewalt vor.</w:t>
      </w:r>
    </w:p>
    <w:p>
      <w:r>
        <w:rPr>
          <w:b/>
        </w:rPr>
        <w:t>E. 8.4.2</w:t>
      </w:r>
    </w:p>
    <w:p>
      <w:r>
        <w:t>Individuelle Gründe, welche gegen die Zumutbarkeit einer Rückkehr des Beschwerdeführers nach Pakistan sprechen würden, können den Akten nicht entnommen werden. Der junge und gemäss Aktenlage gesunde Beschwerdeführer hat den grössten Teil seines Lebens in diesem Land verbracht, ist mit den Gegebenheiten vor Ort vertraut, und es ist davon auszugehen, dass er - selbst wenn sich seine Angehörigen nach wie vor in B._______ befinden sollten - über ein Beziehungsnetz im weiteren Sinn verfügt, zumal aus seinen Aussagen hervorgeht, dass in seinem Heimatland Tanten und Onkel verblieben sind (vgl. Akte A5/12 S 5). Da insbesondere im ländlichen Pakistan die sozialen Strukturen in Clangesellschaften geregelt sind, dürften sich dort noch zahlreiche weitere, allenfalls entferntere Verwandte aufhalten, welche dem Beschwerdeführer indessen bei der Wiedereingliederung im Heimatland ebenfalls behilflich sein können. Hinsichtlich seiner nächsten Verwandten hat er im Übrigen weder belegt noch glaubhaft gemacht, dass sich diese nach wie vor im benachbarten B._______ aufhalten. Folglich ist es dem Beschwerdeführer zuzumuten, sich in sein Heimatland zurückzubegeben, um sich dort um Arbeit zu bemühen und damit für sich und seine Familie eine Existenzgrundlage zu schaffen. Angesichts seines Alters sollte die Wiedereingliederung in seinem Heimatland auch an einem andern Landesteil möglich sein.</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8.6</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10</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dem in gleicher Höhe am 7. August 2013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