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D-4000/2014 vom 6. Mai 2015</w:t>
      </w:r>
    </w:p>
    <w:p>
      <w:r>
        <w:t>Bundesverwaltungsgericht, 2015-05-06, DE</w:t>
      </w:r>
    </w:p>
    <w:p>
      <w:r>
        <w:rPr>
          <w:b/>
        </w:rPr>
        <w:t xml:space="preserve">Quelle: </w:t>
      </w:r>
      <w:r>
        <w:t>https://mcp.opencaselaw.ch/entscheid/bvger_D-4000_2014</w:t>
      </w:r>
    </w:p>
    <w:p>
      <w:r>
        <w:t>FR: TAF D-4000/2014 du 6 mai 2015</w:t>
      </w:r>
    </w:p>
    <w:p>
      <w:r>
        <w:t>IT: TAF D-4000/2014 del 6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syrischer Staatsangehöriger kurdischer Ethnie sei. Er habe Leute zu Demonstrationen aufgestachelt und Protestkundgebungen unterstützt, indem er etwa Parolen auf Stoff geschrieben habe. In B._______ habe er ein Restaurant geführt. (...) 2011 hätten sich Demonstranten im Restaurant verschanzt. Dieses sei jedoch durch die Polizei gestürmt worden und sein Geschäftspartner sei festgenommen worden. Er nehme an, dass dieser ihn bei den Behörden verraten habe. Er habe sich anschliessend für etwa 15 Tage in B._______ versteckt und sei dann nach C._______ gegangen, wo er sein Leben normal weitergeführt habe und an Demonstrationen teilgenommen habe. (...) 2011 sei er aufgefordert worden, in den Militärdienst einzurücken. Hier in der Schweiz sei er exilpolitisch aktiv und nehme an Demonstrationen teil. Als Beweismittel reichte er im vorinstanzlichen Verfahren diverse Fotos, welche seine Demonstrationsteilnahmen in Syrien und in der Schweiz dokumentieren würden, eine Passkopie sowie kopierte Auszüge aus einem syrischen Dienstbüchlein ein.</w:t>
      </w:r>
    </w:p>
    <w:p>
      <w:r>
        <w:rPr>
          <w:b/>
        </w:rPr>
        <w:t>E. 4.2</w:t>
      </w:r>
    </w:p>
    <w:p>
      <w:r>
        <w:t>Das BFM begründete seine Verfügung damit, dass die Schilderung der Stürmung des Restaurants nicht logisch sei, zumal zu erwarten wäre, dass die Behörden bei dieser Gelegenheit nicht nur seinen Geschäftspartner, sondern auch ihn verhaftet hätten, wäre er denn im Visier der Behörden gestanden. Es könne auch nicht nachvollzogen werden, wieso er sich, nachdem sein Geschäftspartner festgenommen worden sei und ihn angeblich verraten habe, unbehelligt habe zuhause aufhalten können, da zu erwarten wäre, dass man ihn dort gesucht hätte. Hinsichtlich der militärischen Einberufung wären verbindliche terminliche Anweisungen zu erwarten, was im Falle des Beschwerdeführers nicht geschehen sei. Überdies habe er angegeben, die Nichtbefolgung des Marschbefehls habe keine Folgen nach sich gezogen, was ebenfalls unwahrscheinlich sei. Es wäre ferner zu erwarten, die Einberufung erfolge schriftlich, und der Beschwerdeführer habe selbst ausgeführt, eine bloss mündliche Vorladung sei nicht üblich. Seine Ausführungen seien somit nicht nachvollziehbar und daher unglaubhaft. Schliesslich lägen keine Hinweise vor, dass der Beschwerdeführer tatsächlich behördlich gesucht werde. Seine diesbezüglichen Befürchtungen seien reine Mutmassungen, zumal er erklärt habe, er gehe davon aus, gesucht zu werden. Hinsichtlich der Einberufung habe er nicht anzugeben vermocht, von welcher Behörde diese Einberufung erfolgt sei, was aufgrund mangelnder Substanziiertheit unglaubhaft sei. Die Vorbringen würden daher Art. 7 AsylG nicht standhalten, woran auch die eingereichten Fotos von Demonstrationen nichts zu ändern vermöchten.</w:t>
      </w:r>
    </w:p>
    <w:p>
      <w:r>
        <w:rPr>
          <w:b/>
        </w:rPr>
        <w:t>E. 4.3</w:t>
      </w:r>
    </w:p>
    <w:p>
      <w:r>
        <w:t>Diesen Ausführungen wurde in der Beschwerdeschrift entgegnet, der Beschwerdeführer habe in der BzP erklärt, dass bei der Stürmung des Restaurants sämtliche Anwesenden, die keine Arbeitskleidung getragen hätten, festgenommen worden seien, so auch sein Geschäftspartner, der an diesem Tag in ziviler Kleidung im Restaurant gewesen sei. Auch in der Anhörung habe er bei Frage 33 den Vorfall detailliert geschildert. Der Beschwerdeführer wie auch sein Geschäftspartner hätten bereits in der Vergangenheit die Demonstranten unterstützt. Anlässlich der Befragungen der Demonstrationsteilnehmer sowie des Geschäftspartners durch die Polizei hätten diese die Tätigkeiten des Beschwerdeführers preisgegeben. Dies sei jedoch erst nach der Stürmung des Restaurants geschehen, so dass die Polizei damals noch keinen Grund für eine Festnahme des Beschwerdeführers gehabt habe. Das BFM habe zu Unrecht ausgeführt, der Beschwerdeführer habe sich zuhause in B._______ versteckt. Vielmehr habe er sich nicht in seinem eigenen Haus aufgehalten. Auch in C._______ habe er sich nicht bei seinen nahen Verwandten, sondern bei seinem Onkel aufgehalten. Die Bestätigung seiner Befürchtung, gesucht zu werden, habe er erhalten, als ihm seine Eltern mitgeteilt hätten, ihnen sei mündlich eröffnet worden, dass der Beschwerdeführer einzurücken habe. Solche Marschbefehle seien ein gängiger Vorwand, der Leute habhaft zu werden. Ob tatsächlich eine Einberufung erfolgt sei oder ob es sich vielmehr um eine behördliche List handle, um den Beschwerdeführer festzunehmen, sei unklar, da eine Einberufung an seine Wohnadresse in B._______ gesendet worden wäre. An dieser Adresse sei er jedoch seit dem Zwischenfall im Restaurant nicht mehr gewesen. Der Beschwerdeführer werde in Syrien gesucht, sei es wegen der Nichtbefolgung des Marschbefehls oder wegen der Unterstützung der Demonstranten. Dass er die behördliche Suche nicht persönlich erlebt habe und nur Auskunft vom Hörensagen geben könne, könne ihm nicht zum Nachteil gereichen. Mit Eingabe vom 7. November 2014 wurde schliesslich eine Kopie eines Marschbefehls nachgereicht.</w:t>
      </w:r>
    </w:p>
    <w:p>
      <w:r>
        <w:rPr>
          <w:b/>
        </w:rPr>
        <w:t>E. 4.4</w:t>
      </w:r>
    </w:p>
    <w:p>
      <w:r>
        <w:t>Das BFM hat die Vorbringen des Beschwerdeführers zu Unrecht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25. Februar 2015 E. 5.6.1 m.w.H., als Referenzurteil publiziert). Aufgrund der eingereichten Fotoaufnahmen ist das Vorbringen des Beschwerdeführers, in C._______ an regimefeindlichen Demonstrationen teilgenommen zu haben, für glaubhaft zu erachten. Ebenfalls als glaubhaft zu erachten ist der Umstand, dass der Beschwerdeführer in B._______ Demonstrationsteilnehmenden in seinem Restaurant einen Zufluchtsort geboten habe respektive, dass das Restaurant als Zufluchts- und Vorbereitungsort genutzt wurde. Gleiches gilt für die Erstürmung des Restaurants anlässlich einer Freitagsdemonstration, obwohl diesbezüglich zu bemerken ist, dass das angegebene Datum (...) nicht zutreffend sein kann, zumal es sich dabei um einen Sonntag und nicht um einen Freitag handelte. Dieser Ungereimtheit ist jedoch kein derart grosses Gewicht beizumessen, als dass sie die Glaubhaftigkeitsmomente in den Schilderungen des Beschwerdeführers zu überwiegen vermöchte. So wurden die im Restaurant vorgenommenen Vorbereitungshandlungen der Demonstration, die eigentliche Erstürmung sowie die Festnahme des Geschäftspartners vom Beschwerdeführer in der BzP sowie der Anhörung übereinstimmend und substanziiert zu Protokoll gebracht. Die Erklärung des Beschwerdeführers, wieso der Geschäftspartner, nicht aber er selbst festgenommen worden sei, ist plausibel, während der Einwand in der angefochtenen Verfügung unter Hinweis auf das Gegenargument in der Beschwerdeschrift nicht überzeugt. In Anbetracht der Demonstrationsteilnahmen sowie der Vorkommnisse im vom Beschwerdeführer geführten Restaurant kann nicht ausgeschlossen werden, dass die syrischen Behörden ihn als Regimegegner betrachten.</w:t>
      </w:r>
    </w:p>
    <w:p>
      <w:r>
        <w:rPr>
          <w:b/>
        </w:rPr>
        <w:t>E. 4.5</w:t>
      </w:r>
    </w:p>
    <w:p>
      <w:r>
        <w:t>Vor dem aktuellen länderspezifischen Hintergrund, wonach die syrischen Behörden brutal und rücksichtslos gegen (vermeintliche) Regimegegner vorgehen (vgl. Urteil des Bundesverwaltungsgerichts D-5779/2013 vom 25. Februar 2015 E. 5.7.2, als Referenzurteil publiziert), sind diese Fluchtgründe geeignet, eine Verfolgungsgefahr im Sinne von Art. 3 AsylG zu begründen. Eine innerstaatliche Fluchtalternative ist unter Verweis auf Erwägung 5.9 des soeben zitierten Urteils zu verneinen.</w:t>
      </w:r>
    </w:p>
    <w:p>
      <w:r>
        <w:rPr>
          <w:b/>
        </w:rPr>
        <w:t>E. 5</w:t>
      </w:r>
    </w:p>
    <w:p>
      <w:r>
        <w:t>Aus diesen Erwägungen ergibt sich, dass der Beschwerdeführer die Flüchtlingseigenschaft im Sinne von Art. 3 AsylG erfüllt. Ob das zweite Kernvorbringen des Beschwerdeführers hinsichtlich des militärischen Aufgebots glaubhaft ist, kann an dieser Stelle offenbleiben. Ebenso erübrigt sich eine Prüfung allfälliger subjektiver Nachfluchtgründe. Die Beschwerde ist daher gutzuheissen. Das SEM ist anzuweisen, den Beschwerdeführer als Flüchtling zu anerkennen und ihm in der Schweiz Asyl zu gewähren. 6.1 Bei diesem Ausgang des Verfahrens sind keine Kosten zu erheben (Art. 63 Abs. 3 VwVG i.V.m. Art. 37 VGG). 6.2 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hat der Beschwerdeführer keine Kostennote eingereicht. Auf die Nachforderung einer solchen wird indessen verzichtet (vgl. Art. 14 Abs. 2 VGKE), weil im vorliegenden Verfahren der Aufwand für die Beschwerdeführung und den Schriftenwechsel zuverlässig abgeschätzt werden kann. Dabei ist zu beachten, dass die Beschwerdeschrift inhaltlich nahezu identisch mit derjenigen des Verfahrens D-1342/2014 ist. Der Aufwand für Letztere wurde mit der im Kassationsentscheid D-1342/2014 vom 15. April 2014 zugesprochenen Parteientschädigung bereits abgegolten und ist somit im vorliegenden Verfahren nicht erneut zu entschädigen. Gestützt auf diese Überlegungen und die in Betracht zu ziehenden Bemessungsfaktoren (Art. 9-13 VGKE) ist die Parteientschädigung aufgrund der Akten daher auf Fr. 400.- (inkl. Auslagen und Mehrwertsteuer) festzusetzen. Dieser Betrag ist dem Beschwerdeführer durch das SEM zu entrichten. Der Honoraranspruch der als amtliche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