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D-398/2017 vom 23. Januar 2020</w:t>
      </w:r>
    </w:p>
    <w:p>
      <w:r>
        <w:t>Bundesverwaltungsgericht, 2020-01-23, DE</w:t>
      </w:r>
    </w:p>
    <w:p>
      <w:r>
        <w:rPr>
          <w:b/>
        </w:rPr>
        <w:t xml:space="preserve">Quelle: </w:t>
      </w:r>
      <w:r>
        <w:t>https://mcp.opencaselaw.ch/entscheid/bvger_D-398_2017</w:t>
      </w:r>
    </w:p>
    <w:p>
      <w:r>
        <w:t>FR: TAF D-398/2017 du 23 janvier 2020</w:t>
      </w:r>
    </w:p>
    <w:p>
      <w:r>
        <w:t>IT: TAF D-398/2017 del 23 gennaio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jedoch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Massgeblich für die Beurteilung der Flüchtlingseigenschaft ist die Situation im Zeitpunkt des Asylentscheids. Die Gewährung des Asyls bezweckt, Schutz vor künftiger Verfolgung zu gewähren (vgl. BVGE 2008/4 E. 5.4).</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Gesuchstellenden sprechen, bei einer objektivierten Sichtweise überwiegen oder nicht (vgl. BVGE 2015/3 E. 6.5.1, 2013/11 E. 5.1, 2012/5 E. 2.2).</w:t>
      </w:r>
    </w:p>
    <w:p>
      <w:r>
        <w:rPr>
          <w:b/>
        </w:rPr>
        <w:t>E. 4.1</w:t>
      </w:r>
    </w:p>
    <w:p>
      <w:r>
        <w:t>Soweit der Beschwerdeführer in seiner als "Wiedererwägungsgesuch" betitelten Eingabe vom 9. November 2016 geltend machte, es lägen neue Fakten und Beweismittel vor, die geeignet seien, zu einer anderen Beurteilung seiner Fluchtvorbringen und damit zur Asylgewährung zu führen, nahm das SEM diese zu Recht als qualifiziertes Wiedererwägungsgesuch entgegen (vgl. zum sogenannten "qualifizierten Wiedererwägungsgesuch" BVGE 2013/22 E. 5.4 m.w.H.).</w:t>
      </w:r>
    </w:p>
    <w:p>
      <w:r>
        <w:rPr>
          <w:b/>
        </w:rPr>
        <w:t>E. 4.2</w:t>
      </w:r>
    </w:p>
    <w:p>
      <w:r>
        <w:t>Der Beschwerdeführer vermochte im (ersten) Asylverfahren die Vorbringen, die ihn zur Flucht aus dem Iran bewogen hätten, nicht glaubhaft zu machen. Die entsprechende Verfügung des BFM vom 3. Dezember 2014 ist in Rechtskraft erwachsen. Mit den Vorbringen und Beweismitteln in seinem (qualifizierten) Wiedererwägungsgesuch vom 9. November 2016 und der Rechtsmitteleingabe vom 19. Januar 2017 vermag der Beschwerdeführer die besagten Fluchtvorbringen nicht zu belegen, respektive keine andere Einschätzung derselben zu bewirken. Laut dem (Nachfolge-)Bericht des behandelnden Arztes vom 16. Januar 2017 leidet der Beschwerdeführer an einer PTBS, einer leichten depressiven Episode sowie Anpassungsproblemen bei Veränderungen der Lebensumstände. Hierzu ist festzustellen, dass die ärztliche Diagnose nicht in Frage gestellt wird. Jedoch vermag sie die vom Beschwerdeführer vorgebrachte Verfolgungssituation nicht zu belegen. Die Diagnose lässt per se keine Rückschlüsse auf die konkreten Umstände des Zustandekommens der PTBS zu. Ein schlüssiger Nachweis über die spezifische Ursache der Traumatisierung, die der PTBS zugrunde liegt, vermag die Diagnose nicht zu liefern. Es ist zwar durchaus denkbar, dass das festgestellte psychische Leiden des Beschwerdeführers auf ein im Iran erlebtes Ereignis wie eine Haftsituation zurückzuführen ist, jedoch kann dieses und dessen Hintergrund allein durch die Diagnose PTBS nicht als erstellt erachtet werden. Die besagte Diagnose vermag die vom Beschwerdeführer im Asylverfahren geschilderte und als unglaubhaft qualifizierte Verfolgungssituation (Verhaftung wegen Demonstrationsteilnahme am [...] 2010 respektive [...] 2010 und Flucht nach zweijähriger Inhaftierung) nicht zu belegen. Weiter vermag der Einwand des Beschwerdeführers, er sei im Asylverfahren wohl aufgrund der nun festgestellten PTBS nicht in der Lage gewesen, seine Asylvorbringen schlüssig darzulegen, nicht zu greifen. Der Beschwerdeführer konnte im Asylverfahren die Umstände, die ihn zur Flucht bewogen hätten, schildern, und die erheblichen Ungereimtheiten und Widersprüche in den Angaben zu seiner Verfolgungssituation lassen sich nicht allein mit allenfalls zeitweise verdrängten Sachverhaltsumständen (wie Misshandlungen) erklären, zumal sich, wie vom SEM zutreffend festgestellt (vgl. S. 4 der Verfügung vom 19. Dezember 2016), weitere gravierende Widersprüche in den Angaben des Beschwerdeführers zur behaupteten Verfolgungssituation ergeben. Seine Vorbringen im (qualifizierten) Wiedererwägungsverfahren sind damit nicht geeignet, die im Asylverfahren als unglaubhaft erachteten Fluchtgründe zu belegen. An dieser Einschätzung vermögen auch die Bestätigungsschreiben von Familienangehörigen und Fotos einer Verwandtenhochzeit nichts zu ändern. Auch diese vermögen keine veränderte Sachlage zu begründen, die eine von der bisherigen Beurteilung abweichende Würdigung der Asylvorbringen des Beschwerdeführers zulassen würde. Selbst wenn der Beschwerdeführer im Heimatland ein traumatisches Ereignis wie eine Haftsituation erlebt haben sollte, ist daran zu erinnern, dass das Asyl nicht dem Ausgleich für vergangenes Unrecht, sondern der Gewährung von Schutz vor künftiger Verfolgung dient (vgl. BVGE 2008/4 E. 5.4). Eine in diesem Zusammenhang begründete Furcht vor künftigen Nachteilen asylrechtlich relevanten Ausmasses seitens der heimatlichen Behörden gemäss Art. 3 AsylG vermag der Beschwerdeführer vorliegend nicht darzulegen.</w:t>
      </w:r>
    </w:p>
    <w:p>
      <w:r>
        <w:rPr>
          <w:b/>
        </w:rPr>
        <w:t>E. 5</w:t>
      </w:r>
    </w:p>
    <w:p>
      <w:r>
        <w:t>Weiter machte der Beschwerdeführer geltend, er sei in der Schweiz zum Christentum konvertiert und fürchte sich deshalb bei einer Rückkehr in den Iran vor Verfolgung seitens der heimatlichen Behörden.</w:t>
      </w:r>
    </w:p>
    <w:p>
      <w:r>
        <w:rPr>
          <w:b/>
        </w:rPr>
        <w:t>E. 5.1</w:t>
      </w:r>
    </w:p>
    <w:p>
      <w:r>
        <w:t>Wer sich darauf beruft, dass durch sein Verhalten nach der Ausreise aus dem Heimatland eine Gefährdungssituation geschaffen worden sei, macht sogenannte subjektive Nachfluchtgründe im Sinne von Art. 54 AsylG geltend. Solche begründen zwar die Flüchtlingseigenschaft gemäss Art. 3 AsylG, führen aber zum Ausschluss des Asyls, unabhängig davon, ob sie missbräuchlich oder nicht missbräuchlich gesetzt wurden. Stattdessen werden Personen, die subjektive Nachfluchtgründe nachweisen oder glaubhaft machen können, als Flüchtlinge vorläufig aufgenommen (vgl. BVGE 2009/28 E. 7.1). Massgeblich ist, ob die heimatlichen Behörden das Verhalten des Asylsuchenden als staatsfeindlich einstufen und dieser deswegen bei der Rückkehr in den Heimatstaat eine Verfolgung gemäss Art. 3 AsylG befürchten muss. Es bleiben damit die Anforderungen an den Nachweis einer begründeten Furcht massgeblich (Art. 3 und Art. 7 AsylG).</w:t>
      </w:r>
    </w:p>
    <w:p>
      <w:r>
        <w:rPr>
          <w:b/>
        </w:rPr>
        <w:t>E. 5.2</w:t>
      </w:r>
    </w:p>
    <w:p>
      <w:r>
        <w:t>Der Beschwerdeführer brachte vor, er habe hierzulande im Jahr 2015 Anschluss an die (Kirche) gefunden. Er besuche regelmässig Treffen deren internationaler Gruppe und Gottesdienste. Er setze sich intensiv mit der christlichen Glaubensrichtung auseinander und habe sich im (...) 2016 taufen lassen.</w:t>
      </w:r>
    </w:p>
    <w:p>
      <w:r>
        <w:rPr>
          <w:b/>
        </w:rPr>
        <w:t>E. 5.2.1</w:t>
      </w:r>
    </w:p>
    <w:p>
      <w:r>
        <w:t>Allein der Übertritt zu einer anderen Glaubensrichtung führt im Iran grundsätzlich noch nicht zu einer (individuellen) staatlichen Verfolgung (vgl. BVGE 2009/28 E. 7.3). Eine christliche Glaubensausübung vermag gegebenenfalls dann flüchtlingsrechtlich relevante Massnahmen auszulösen, wenn sie in der Schweiz aktiv und sichtbar nach aussen praktiziert wird und im Einzelfall davon ausgegangen werden muss, dass das heimatliche Umfeld von einer solchen, allenfalls gar missionierende Züge annehmenden Glaubensausübung erfährt und die asylsuchende Person denunziert. Eine Verfolgung durch den iranischen Staat kommt somit dann zum Tragen, wenn der Glaubenswechsel bekannt wird und zugleich Aktivitäten des Konvertiten vorliegen, die vom Regime als Angriff auf den Staat angesehen werden. Bei Konversionen im Ausland muss daher bei der Prüfung im Einzelfall neben der Glaubhaftigkeit der Konversion auch das Ausmass der öffentlichen Bekanntheit für die betroffene Person in Betracht gezogen werden (vgl. BVGE 2009/28 E. 7.3.4 f.; Urteile des BVGer D-2496/2018 vom 22. Mai 2018 E. 5.5, D-7222/2013 vom 31. Oktober 2014 E. 6.5).</w:t>
      </w:r>
    </w:p>
    <w:p>
      <w:r>
        <w:rPr>
          <w:b/>
        </w:rPr>
        <w:t>E. 5.2.2</w:t>
      </w:r>
    </w:p>
    <w:p>
      <w:r>
        <w:t>Das SEM stellte nicht in Frage, dass der Beschwerdeführer sich hierzulande in dem besagten christlichen Umfeld bewegt. Auch für das Bundesverwaltungsgericht kann die vorgebrachte Zuwendung des Beschwerdeführers zum Christentum und die Ausübung des neuen Glaubens im Rahmen der weltweit aktiven (...), die teilweise auch missionarische Züge aufweist (vgl. Urteil des BVGer [...]), als erstellt erachtet werden.</w:t>
      </w:r>
    </w:p>
    <w:p>
      <w:r>
        <w:rPr>
          <w:b/>
        </w:rPr>
        <w:t>E. 5.2.3</w:t>
      </w:r>
    </w:p>
    <w:p>
      <w:r>
        <w:t>Wie vorstehend ausgeführt, ist die Frage nach dem Bekanntwerden des Glaubenswechsels massgeblich für die Beurteilung der Gefährdungslage bei einer Konversion (vgl. E. 5.2.1). Aufgrund der Aktenlage kommt das Bundesverwaltungsgericht zum Schluss, dass der Sachverhalt diesbezüglich nicht als rechtsgenüglich erstellt erachtet werden kann.</w:t>
      </w:r>
    </w:p>
    <w:p>
      <w:r>
        <w:rPr>
          <w:b/>
        </w:rPr>
        <w:t>E. 5.2.3.1</w:t>
      </w:r>
    </w:p>
    <w:p>
      <w:r>
        <w:t>Der in Art. 29 Abs. 2 BV garantierte und in den Art. 26 - 33 VwVG konkretisierte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Der Anspruch auf rechtliches Gehör dient einerseits der Sachaufklärung und stellt andererseits ein persönlichkeitsbezogenes Mitwirkungsrecht der Partei dar. Mit dem Gehörsanspruch korreliert die Pflicht der Behörden, die Vorbringen des vom Entscheid in seiner Rechtsstellung Betroffenen tatsächlich zu hören, sorgfältig und ernsthaft zu prüfen und in der Entscheidfindung angemessen zu berücksichtigen (Art. 32 Abs. 1 VwVG). Der Untersuchungsgrundsatz gehört zu den allgemeinen Grundsätzen des Verwaltungs- respektive Asylverfahrens (Art. 12 VwVG i.V.m. Art. 6 AsylG). Demnach hat die Behörde von Amtes wegen für die richtige und vollständige Abklärung des rechtserheblichen Sachverhalts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Beweisverfahrens gemacht wird, oder weil Beweise falsch gewürdigt worden sind. Der Untersuchungsgrundsatz gilt nicht uneingeschränkt, sondern findet sein Korrelat in der Mitwirkungspflicht der asylsuchenden Person. Gemäss Art. 61 Abs. 1 VwVG entscheidet das Bundesverwaltungsgericht in der Sache selbst oder weist diese mit verbindlichen Weisungen an die Vorinstanz zurück. Eine Kassation und Rückweisung ist insbesondere angezeigt, wenn weitere Tatsachen festgestellt werden müssen und ein umfassendes Beweisverfahren durchzuführen ist (vgl. BVGE 2012/21 E. 5.1 m.w.H.). Im Beschwerdeverfahren vor dem Bundesverwaltungsgericht dürfen im Rahmen des Streitgegenstands bisher noch nicht gewürdigte, bekannte wie auch bis anhin unbekannte neue Sachverhaltsumstände, die sich zeitlich vor (sog. unechte Noven) oder erst im Laufe des Rechtsmittelverfahrens (sog. echte Noven) zugetragen haben, vorgebracht werden. Gleiches gilt für neue Beweismittel. Die Behörde muss mithin jederzeit Vorbringen zum Sachverhalt entgegennehmen und berücksichtigen, falls sie diese für rechtserheblich hält (vgl. Art. 32 Abs. 2 VwVG; vgl. Auer, a.a.O., Rz. 14 zu Art. 12). Dass der Entscheidung des Bundesverwaltungsgerichts derjenige Sachverhalt zugrunde zu legen ist, wie er sich im Zeitpunkt der Entscheidung verwirklich hat und bewiesen ist, hängt entscheidend mit dem Untersuchungsgrundsatz und der mit Bezug auf die Überprüfung des Sachverhalts freien Kognition des Gerichts zusammen (vgl. Art. 49 Bst. b VwVG). Für den Beschwerdeentscheid ist die im Zeitpunkt seiner Ausfällung bestehende Aktenlage massgeblich (vgl. zum Ganzen vgl. André Moser/Michael Beusch/Lorenz Kneubühler, Prozessieren vor dem Bundesverwaltungsgericht, 2. Aufl. 2013, S. 92 f. Rz. 2.206). Die angefochtene Verfügung des SEM hat sich mithin auch gegenüber den im Verlauf des Beschwerdeverfahrens dazugekommenen Tatsachen und Beweismitteln zu bewähren (vgl. BVGE 2012/21 E. 5.1).</w:t>
      </w:r>
    </w:p>
    <w:p>
      <w:r>
        <w:rPr>
          <w:b/>
        </w:rPr>
        <w:t>E. 5.2.3.2</w:t>
      </w:r>
    </w:p>
    <w:p>
      <w:r>
        <w:t>Das SEM führte in der angefochtenen Verfügung hinsichtlich der Frage, ob die Konversion des Beschwerdeführers im Iran bekannt geworden sei, an, es sei nicht davon auszugehen, dass der Beschwerdeführer den iranischen Behörden diesbezüglich aufgefallen sei. Auf Beschwerdeebene brachte der Beschwerdeführer indes vor, er habe bei dem am (...) beim SEM erfolgten Ausreisegespräch einem Vertreter der iranischen Botschaft gegenüber offenbart, dass er Christ geworden sei; der bei dem besagten Gespräch anwesende Mitarbeiter des (...) habe dies schriftlich festgehalten (vgl. auch Beschwerdebeilage 5). Das Bundesverwaltungsgericht hat dem SEM hinsichtlich der vom Beschwerdeführer geltend gemachten Kenntnis der iranischen Behörden Gelegenheit zur Stellungnahme gewährt. In seiner Vernehmlassung vom 14. Februar 2017 setzte sich das SEM damit indes nicht auseinander. Aus den vorinstanzlichen Akten ist weder der Inhalt des besagten Ausreisegesprächs noch der Teilnehmerkreis ersichtlich. Indem das SEM sich trotz entsprechender Rügen in der Rechtsmitteleingabe vom 19. Januar 2017 und der Vorlage eines Belegs, aus welchem sich hinreichend konkrete Hinweise auf eine mögliche Kenntniserlangung der iranischen Behörden ergeben, nicht zu den Fragen der Richtigkeit des eingereichten Protokollauszugs und der Gefährdungslage äusserte, ist eine unvollständige Abklärung des Sachverhalts bezüglich der Frage, ob die Konversion des Beschwerdeführers bereits bekannt ist, zu erkennen. In der Folge kann erst geprüft werden, ob der Beschwerdeführer wegen der Konversion zum Christentum allenfalls einer flüchtlingsrechtlich relevanten Bedrohung seitens der iranischen Behörden ausgesetzt wäre. Es erweist sich daher als angezeigt, die Sache zwecks vollständiger Sachverhaltsfeststellung und Neubeurteilung der Frage des Vorliegens eines subjektiven Nachfluchtgrunds an die Vorinstanz zurückzuweisen.</w:t>
      </w:r>
    </w:p>
    <w:p>
      <w:r>
        <w:rPr>
          <w:b/>
        </w:rPr>
        <w:t>E. 6</w:t>
      </w:r>
    </w:p>
    <w:p>
      <w:r>
        <w:t>Nach dem Gesagten ist die vorinstanzliche Verfügung teilweise aufzuheben. Die Dispositivziffern 1 (Nichterfüllung Flüchtlingseigenschaft) und 4-5 (Wegweisungsvollzug) der Verfügung vom 19. Dezember 2016 sind aufzuheben und die Sache zur vollständigen Sachverhaltsfeststellung und Neubeurteilung der Frage des Vorliegens eines allfälligen subjektiven Nachfluchtgrunds an das SEM zurückzuweisen. Im Übrigen (Dispositivziffer 2: Ablehnung Asylgesuch; Dispositivziffer 3: Anordnung Wegweisung; Dispositivziffer 6: Gebührenerhebung) ist die Beschwerde abzuweisen. Ein allenfalls bestehender subjektiver Nachfluchtgrund vermag nicht zur Asylgewährung zu führen (vgl. E. 5.1) und die Ablehnung des Asylgesuchs zieht die Wegweisung aus der Schweiz nach sich (Art. 44 AsylG), zumal der Beschwerdeführer weder über eine ausländerrechtliche Aufenthaltsbewilligung noch über einen Anspruch auf Erteilung einer solchen verfügt, womit die Wegweisung vom SEM zu Recht angeordnet wurde (Art. 44 AsylG; vgl. BVGE 2013/37 E. 4.4; 2009/50 E. 9, je m.w.H). Nachdem der Beschwerdeführer mit seinem (Haupt-)Anliegen, ihm sei Asyl zu gewähren, unterlegen ist, rechtfertigt es sich nicht, die von der Vorinstanz getroffene Gebührenregelung aufzuheben. Bei diesem Verfahrensausgang erübrigt es sich, auf die aktuelle gesundheitliche Situation des Beschwerdeführers näher einzugehen.</w:t>
      </w:r>
    </w:p>
    <w:p>
      <w:r>
        <w:rPr>
          <w:b/>
        </w:rPr>
        <w:t>E. 7.1</w:t>
      </w:r>
    </w:p>
    <w:p>
      <w:r>
        <w:t>Bei diesem Ausgang des Verfahrens ist von einem hälftigen Obsiegen des Beschwerdeführers auszugehen. Es wären ihm daher grundsätzlich die hälftigen Verfahrenskosten aufzuerlegen. Nachdem jedoch das Gesuch um Gewährung der unentgeltlichen Prozessführung gemäss Art. 65 Abs. 1 VwVG mit Zwischenverfügung vom 26. Januar 2017 - vorbehältlich der (daraufhin erfolgten) Nachreichung einer Fürsorgebestätigung - gutgeheissen worden ist, sind keine Verfahrenskosten zu erheben.</w:t>
      </w:r>
    </w:p>
    <w:p>
      <w:r>
        <w:rPr>
          <w:b/>
        </w:rPr>
        <w:t>E. 7.2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Im vorliegenden Verfahren wurde keine Kostennote eingereicht. Auf die Nachforderung einer solchen wird indessen verzichtet (vgl. Art. 14 Abs. 2 VGKE), weil im vorliegenden Verfahren der Aufwand für die Beschwerdeführung zuverlässig abgeschätzt werden kann. Gestützt auf die in Betracht zu ziehenden Bemessungsfaktoren (Art. 9-13 VGKE) und angesichts seines hälftigen Obsiegens ist die (reduzierte) Parteientschädigung pauschal auf Fr. 800.- (inklusive sämtlicher Auslagen und Mehrwertsteuer) festzusetzen. Dieser Betrag ist dem Beschwerdeführer durch das SEM zu entrichten. Im Umfang des Unterliegens ist keine Entschädigung zuzusprechen, da das Begehren um unentgeltliche Rechtsverbeiständung gemäss Art. 65 Abs. 2 VwVG mit Zwischenverfügung vom 26. Januar 2017 abgewiesen worden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