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D-3987/2015 vom 17. Februar 2017</w:t>
      </w:r>
    </w:p>
    <w:p>
      <w:r>
        <w:t>Bundesverwaltungsgericht, 2017-02-17, DE</w:t>
      </w:r>
    </w:p>
    <w:p>
      <w:r>
        <w:rPr>
          <w:b/>
        </w:rPr>
        <w:t xml:space="preserve">Quelle: </w:t>
      </w:r>
      <w:r>
        <w:t>https://mcp.opencaselaw.ch/entscheid/bvger_D-3987_2015</w:t>
      </w:r>
    </w:p>
    <w:p>
      <w:r>
        <w:t>FR: TAF D-3987/2015 du 17 février 2017</w:t>
      </w:r>
    </w:p>
    <w:p>
      <w:r>
        <w:t>IT: TAF D-3987/2015 del 17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verfahrensrechtlicher Hinsicht die unrichtige und unvollständige Sachverhaltsfeststellung sowie die Verletzung von Art. 7 AsylG durch die Vorinstanz. Das SEM habe ihn anlässlich der Anhörung vom 17. Juni 2013 nicht detailliert genug befragt. Wegen der bei der Anhörung herrschenden angespannten Atmosphäre habe er sich unwohl gefühlt, nur knappe Antworten gegeben und es sei ihm schwergefallen, von den erlittenen Misshandlungen zu sprechen.</w:t>
      </w:r>
    </w:p>
    <w:p>
      <w:r>
        <w:rPr>
          <w:b/>
        </w:rPr>
        <w:t>E. 3.2</w:t>
      </w:r>
    </w:p>
    <w:p>
      <w:r>
        <w:t>Der Untersuchungsgrundsatz gehört zu den allgemeinen Grundsätzen des Asylverfahrens (vgl. Art. 12 VwVG i.V.m. Art. 6 AsylG; zum Ganzen: Schweizerische Flüchtlingshilfe SFH (Hrsg.), Handbuch der Schweizerischen Flüchtlingshilfe zum Asyl- und Wegweisungsverfahren, 2. Aufl. 2015, Kapitel 12.2, S. 291 - 298).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w:t>
      </w:r>
    </w:p>
    <w:p>
      <w:r>
        <w:rPr>
          <w:b/>
        </w:rPr>
        <w:t>E. 3.3</w:t>
      </w:r>
    </w:p>
    <w:p>
      <w:r>
        <w:t>Das verlässlichste Mittel zur Beurteilung der Glaubhaftigkeit ist grundsätzlich die freie, spontane Erzählung. Aus diesem Grund wird die asylsuchende Person zunächst aufgefordert, ihre Gründe in "freier Erzählung" darzulegen (vgl. Handbuch, a.a.O., Kapitel 7.2.2.3, S. 91 f.). Damit wird ihr die Möglichkeit gewährt, sich frei und spontan zu ihren Fluchtgründen zu äussern. Im Asylverfahren, wie auch in Interviews oder Dialogen in anderen Bereichen, werden zur Gesprächsführung offene und geschlossene Fragen eingesetzt. Da offene Fragen ein breites Spektrum an Antworten ermöglichen, fördern sie im Regelfall die Beziehung zwischen den Gesprächspartnern und sind nicht suggestiv. Das Gegenstück dieser Fragen sind die sogenannten "geschlossenen Fragen" (vgl. www.wikipedia.org/wiki/Fragentechnik, aufgerufen am 5. Dezember 2016). Bei diesen sind die Antwortmöglichkeiten vorgegeben und sie können eine suggestive Wirkung haben. Deswegen sollten sie möglichst vermieden werden und sind lediglich dann angebracht, wenn beispielsweise die asylsuchende Person Mühe bekundet, frei zu sprechen.</w:t>
      </w:r>
    </w:p>
    <w:p>
      <w:r>
        <w:rPr>
          <w:b/>
        </w:rPr>
        <w:t>E. 3.4</w:t>
      </w:r>
    </w:p>
    <w:p>
      <w:r>
        <w:t>Bereits diese knappen Ausführungen erhellen, dass der befragenden Person eine grosse Verantwortung obliegt, kann doch die Art und Weise der Befragung allenfalls zu Kommunikationspannen, zu Missverständnissen oder unzutreffenden Schlussfolgerungen führen. Die Fragen sollten einfach und verständlich sein, keine Doppeldeutigkeiten sowie Unterstellungen enthalten und nicht suggestiv sein (vgl. www.wikipedia.org/wiki/Fragentechnik, aufgerufen am 5. Dezember 2016). Ein wichtiger Punkt ist auch, dass die Frage beantwortet werden kann. Der Befragte muss sie verstehen und das Wissen haben, sie beantworten zu können (vgl. a.a.O.). Das SEM hat in seiner Vernehmlassung vom 2. September 2015 festgehalten, es könne dem Anhörungsprotokoll nicht entnommen werden, dass der Befrager in einem ungenügenden Masse nachgefragt habe. Aufgrund der unregelmässigen vagen und oberflächlichen Antworten des Beschwerdeführers seien abermalig konkrete Nachfragen gestellt worden. Dem Protokoll sei sodann weiter zu entnehmen, dass der Beschwerdeführer auf diese expliziten Nachfragen konstant unsubstantiierte und vage Äusserungen von sich gegeben habe. Es seien ihm demnach genügend Gelegenheiten gegeben worden, ausführlich über seine Probleme berichten zu können.</w:t>
      </w:r>
    </w:p>
    <w:p>
      <w:r>
        <w:rPr>
          <w:b/>
        </w:rPr>
        <w:t>E. 3.5</w:t>
      </w:r>
    </w:p>
    <w:p>
      <w:r>
        <w:t>Es ist jedoch in diesem Zusammenhang zu beachten, dass sich die Aufgaben der mit der Durchführung der Anhörung betrauten Person nicht nur mit dem Stellen von Fragen erschöpfen. Sie nimmt vielmehr auch eine Aufsichtsrolle wahr und trägt eine grosse Verantwortung im jeweiligen Verfahren. Wie alle am Asylverfahren beteiligten Personen, hat sie sich überdies neutral zu verhalten, zumal es sehr wichtig ist, dass die asylsuchende Person Vertrauen fassen und ihre Asylgründe offen darlegen kann.</w:t>
      </w:r>
    </w:p>
    <w:p>
      <w:r>
        <w:rPr>
          <w:b/>
        </w:rPr>
        <w:t>E. 3.6</w:t>
      </w:r>
    </w:p>
    <w:p>
      <w:r>
        <w:t>Demgegenüber drängt sich aufgrund des Anhörungsprotokolls der Eindruck auf, die befragende Person habe gegenüber dem Beschwerdeführer nicht das erforderliche Mass an Geduld, Respekt und Neutralität aufgebracht. Anlass zu Kritik gibt vorliegend namentlich der hostile und despektierliche Befragungsstil, der, wie nachstehend aufgezeigt wird, das ganze Anhörungsprotokoll durchzieht und sich durch belehrende Äusserungen und Werturteile charakterisiert; problematisch in diesem Zusammenhang erscheint namentlich die Frage 32, darüber hinaus aber auch weitere, nämlich die Fragen 19, 20, 22, 23, 27, 28, 29, 49, 51, 52, 61, 95, 99, 109, 129. Ein solcher Befragungsstil ist grundsätzlich nicht geeignet, ein vertrauensvolles Klima zu schaffen, welches für die Feststellung des rechtserheblichen Sachverhalts erforderlich ist. Dementsprechend erscheint die Rüge in der Beschwerde, die Atmosphäre anlässlich der Anhörung sei gespannt gewesen und habe es dem Beschwerdeführer erschwert, seine asylrelevanten Vorbringen hinreichend einzubringen, durchaus begründet. Es ist nicht auszuschliessen, dass der Beschwerdeführer durch den Befragungsstil verunsichert wurde und sich in der Folge nicht mehr frei äussern konnte. Derlei wäre aber Voraussetzung für eine rechtsgenügliche Feststellung des rechtserheblichen Sachverhalts wie auch für die Wahrung des rechtlichen Gehörs. Das SEM hat nach dem Gesagten den rechtserheblichen Sachverhalt unvollständig festgestellt und den Anspruch des Beschwerdeführers auf rechtliches Gehör verletzt.</w:t>
      </w:r>
    </w:p>
    <w:p>
      <w:r>
        <w:rPr>
          <w:b/>
        </w:rPr>
        <w:t>E. 3.7</w:t>
      </w:r>
    </w:p>
    <w:p>
      <w:r>
        <w:t>Es kann nicht Aufgabe der Beschwerdeinstanz sein, für eine vollständige Feststellung des rechtserheblichen Sachverhalts zu sorgen, wenn im vorinstanzlichen Verfahren die erforderlichen Sachverhaltsabklärungen unterbleiben. Ausserdem kann das Bundesverwaltungsgericht nicht als einzige Instanz die Flüchtlingseigenschaft prüfen, da ihm diesbezüglich unter den gegebenen Umständen gar keine Überprüfungsbefugnis zukommen würde. Die fehlende Entscheidreife kann zudem vom Bundesverwaltungsgericht nicht mit einem vertretbaren Aufwand hergestellt werden (vgl. BVGE 2008/47 E. 3.3.4 S. 676 f. m.w.H.). Dem Bundesverwaltungsgericht ist es angesichts der unvollständigen Sachverhaltsfeststellung und mangelnden Begründung durch das SEM auch nicht möglich, sich aus der von ihm vorgenommenen Einschätzung ein Bild über die Entscheidung zu machen und diese zu überprüfen.</w:t>
      </w:r>
    </w:p>
    <w:p>
      <w:r>
        <w:rPr>
          <w:b/>
        </w:rPr>
        <w:t>E. 4</w:t>
      </w:r>
    </w:p>
    <w:p>
      <w:r>
        <w:t>Die angefochtene Verfügung ist in Gutheissung der Beschwerde folglich aufzuheben und die Sache zur rechtsgenüglichen Sachverhaltsfeststellung und zur Neubeurteilung im Sinne der Erwägungen an die Vorinstanz zurückzuweisen.</w:t>
      </w:r>
    </w:p>
    <w:p>
      <w:r>
        <w:rPr>
          <w:b/>
        </w:rPr>
        <w:t>E. 5</w:t>
      </w:r>
    </w:p>
    <w:p>
      <w:r>
        <w:t>Bei dieser Sachlage erübrigt sich eine weitere Auseinandersetzung mit den Vorbringen in der Beschwerde.</w:t>
      </w:r>
    </w:p>
    <w:p>
      <w:r>
        <w:rPr>
          <w:b/>
        </w:rPr>
        <w:t>E. 6.1</w:t>
      </w:r>
    </w:p>
    <w:p>
      <w:r>
        <w:t>Bei diesem Ausgang des Verfahrens sind keine Kosten zu erheben (vgl. Art. 63 Abs. 1 und 2 VwVG). Der am 13. Juli 2015 geleistete Kostenvorschuss von Fr. 600.- ist dem Beschwerdeführer zurückzuerstatten.</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Rechtsvertreterin des Beschwerdeführers wurde am 31. Januar 2017 eine Kostennote eingereicht. Darin wird ein Aufwand von Fr. 2'862.20 ausgewiesen, was als angemessen erscheint. Dieser Betrag ist ihm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