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D-397/2013 vom 18. April 2013</w:t>
      </w:r>
    </w:p>
    <w:p>
      <w:r>
        <w:t>Bundesverwaltungsgericht, 2013-04-18, DE</w:t>
      </w:r>
    </w:p>
    <w:p>
      <w:r>
        <w:rPr>
          <w:b/>
        </w:rPr>
        <w:t xml:space="preserve">Quelle: </w:t>
      </w:r>
      <w:r>
        <w:t>https://mcp.opencaselaw.ch/entscheid/bvger_D-397_2013</w:t>
      </w:r>
    </w:p>
    <w:p>
      <w:r>
        <w:t>FR: TAF D-397/2013 du 18 avril 2013</w:t>
      </w:r>
    </w:p>
    <w:p>
      <w:r>
        <w:t>IT: TAF D-397/2013 del 18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 geltend, in den 90er Jahren wegen Dienst­verweigerung inhaftiert und gefoltert worden zu sein. Mit dem BFM ist aber festzuhalten, dass diese weit zurückliegenden Ereignisse nicht als kausal für seine 2012 erfolgte (erneute) Ausreise angesehen werden kön­nen. So habe er in der Folge den Militärdienst absolviert, weshalb be­reits in diesem Lichte besehen nicht mehr von andauernden oder zu be­fürch­tenden neuen Massnahmen der Militärbehörden wegen Dienstverweige­rung auszugehen ist (vgl. vorinstanzliche Akten A 17/18 Antworten 80 ff.). Ferner mag zutreffen, dass er für Vorgängerorganisationen der BDP Sympathien bekundete und es zu Schwierigkeiten mit den Behörden kam. Namhafte poli­tische Probleme, welche aus heutiger Sicht allenfalls auf eine begrün­dete Verfolgungsfurcht hindeuten würde, machte er indes nicht geltend (vgl. A 17/18 Antwort 134); solche Probleme sind bei blossen Sympathisanten der kurdischen Bewegung auch in objektiver Hinsicht nicht zu vermuten.</w:t>
      </w:r>
    </w:p>
    <w:p>
      <w:r>
        <w:rPr>
          <w:b/>
        </w:rPr>
        <w:t>E. 4.2</w:t>
      </w:r>
    </w:p>
    <w:p>
      <w:r>
        <w:t>Im Weiteren ist die andauernde Furcht des Beschwerdeführers vor den Militärbehörden und namentlich eines Militärkommandanten in E._______ aufgrund seiner geltend gemachten Hafterlebnisse zwar erklärbar. Die Vorinstanz geht in diesem Zusammenhang aber von der Unglaubhaftig­keit einer erfolgten oder drohenden zielgerichteten Verfolgung aus und un­termauert ihre Einschätzung mit zutreffenden Argumenten. So hat es der Beschwerdeführer unterlassen, die angeblichen Anzeigen wegen Brand­delikten mit Dokumenten zu substanziieren. Seine Erklärung, dies sei misslungen, weil er sich in der Türkei persönlich dafür bemühen müsste, ist in Anbetracht des türkischen Rechtssystems als tatsachenwidrig zu werten; vielmehr wird so die Substanzlosigkeit der diesbezüglichen Vor­bringen evident. So war er auch nicht in der Lage, besagte Anzeigen wider­spruchsfrei und kohärent zu schildern, was entgegen den Beschwerdevor­bringen nicht auf seine psychische Befindlichkeit zurückge­führt werden kann, zumal er die Richtigkeit und Vollständigkeit des Anhörungs­protokolls unterschriftlich bestätigte und die Hilfswerkvertre­tung keine Anmerkungen zu allfälligen Äusserungsproble­men wegen seines Leidens formulierte. Entsprechend kann auf die diesbe­züglichen vorinstanzlichen Erwägungen vollumfänglich verwiesen werden. Dabei sind namentlich auch seine widersprüchlichen Angaben zum Grund der Rückkehr von Finnland in die Türkei zu gewichten. Im Weite­ren legte er dar, seine Familie sei beim Onkel in F._______ gut aufgeho­ben (vgl. A 17/18 Antwort 58); das Beschwerdevorbringen, in F._______ hätten seinetwegen schon zwei be­hördliche Razzien stattgefunden, muss mithin als blosses Sachverhalts­konstrukt gewertet werden. Bezeichnender­weise erwähnte er auf Nach­fragen zu seinen Kontakten von der Schweiz aus zu Angehörigen keine Vorkommnisse, welche die ob­jektiv fehlende Verfolgungsfurcht in einem anderen Licht erscheinen las­sen würden (A 17/18 Antworten 24 ff.).</w:t>
      </w:r>
    </w:p>
    <w:p>
      <w:r>
        <w:rPr>
          <w:b/>
        </w:rPr>
        <w:t>E. 4.3</w:t>
      </w:r>
    </w:p>
    <w:p>
      <w:r>
        <w:t>Unter Berücksichtigung der gesamten Umstände folgt, dass der Be­schwerdeführer keine Gründe nach Art. 3 AsylG nachweisen oder glaub­haft machen konnte. Die Vorinstanz hat die Flüchtlingseigen­schaft zu Recht verneint und das Asylgesuch abgelehnt. An dieser Einschät­zung ver­mögen die weiteren Ausführungen in der Eingabe mangels Stichhaltig­keit nichts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 (zur Situation in den Provinzen Hakkari und Sir­nak vgl. BVGE E-2560/2011 vom 15. März 2013).</w:t>
      </w:r>
    </w:p>
    <w:p>
      <w:r>
        <w:rPr>
          <w:b/>
        </w:rPr>
        <w:t>E. 6.5.2</w:t>
      </w:r>
    </w:p>
    <w:p>
      <w:r>
        <w:t>Der Beschwerdeführer stammt aus C._______, wohnte aber lange Zeit in E._______, wo seine Mutter offenbar über eine Wohnung verfügt. Im Weite­ren soll seine eigene Familie bei einem Onkel in F._______ gut aufgehoben sein. Zahlreiche weitere Verwandte wohnen in der Türkei, aber auch in Finn­land, Holland und Deutschland. Mit seinem Taxiunternehmen dürfte er in wirtschaftlicher Hinsicht gut dagestanden haben. Eine Fortsetzung der Psychotherapie ist entgegen den nicht stichhaltigen Beschwerdevorbrin­gen auch vor Ort durchführbar. Dazu kann wiederum auf die zutreffen­den vorinstanzlichen Erwägungen verwie­sen werden. Zur Linderung der mut­masslich belastenden Situation bei der Heimkehr besteht die Möglich­keit der medizinischen Rückkehr­hilfe. Es ist entsprechend nicht davon aus­zugehen, dass er nach seiner Rückkehr in die Türkei dort in eine exis­tenz­gefährdende Situation ge­rät.</w:t>
      </w:r>
    </w:p>
    <w:p>
      <w:r>
        <w:rPr>
          <w:b/>
        </w:rPr>
        <w:t>E. 6.5.3</w:t>
      </w:r>
    </w:p>
    <w:p>
      <w:r>
        <w:t>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Nachdem sein Ge­such im Sinne von Art. 65 Abs. 1 VwVG mit Zwischenverfügung vom 4. Feb­ruar 2013 gutgeheissen wurde und sich seine finanzielle Situation seit­her nicht ent­scheidwesentlich verändert hat,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