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D-3969/2025 vom 29. April 2025</w:t>
      </w:r>
    </w:p>
    <w:p>
      <w:r>
        <w:t>Bundesverwaltungsgericht, 2025-04-29, DE</w:t>
      </w:r>
    </w:p>
    <w:p>
      <w:r>
        <w:rPr>
          <w:b/>
        </w:rPr>
        <w:t xml:space="preserve">Quelle: </w:t>
      </w:r>
      <w:r>
        <w:t>https://mcp.opencaselaw.ch/entscheid/bvger_D-3969_2025_d20250429</w:t>
      </w:r>
    </w:p>
    <w:p>
      <w:r>
        <w:t>FR: TAF D-3969/2025 du 29 avril 2025</w:t>
      </w:r>
    </w:p>
    <w:p>
      <w:r>
        <w:t>IT: TAF D-3969/2025 del 29 aprile 2025</w:t>
      </w:r>
    </w:p>
    <w:p>
      <w:pPr>
        <w:pStyle w:val="Heading2"/>
      </w:pPr>
      <w:r>
        <w:t>Regeste</w:t>
      </w:r>
    </w:p>
    <w:p>
      <w:r>
        <w:t>Verweigerung vor&amp;uuml;bergehender Schutz | Verweigerung vorübergehender Schutz; Verfügung des SEM vom 29. April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D-3969/2025 Seite 4</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Die Beschwerde ist frist- und formgereicht eingereicht worden (Art. 72 i.V.m. Art. 108 Abs. 6 AsylG;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w:t>
      </w:r>
    </w:p>
    <w:p>
      <w:r>
        <w:t>D-3969/2025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Beschwerdeführerin ist unbestrittenermassen ukrainische Staats- angehörige und fällt damit grundsätzlich unter Bst. a der Allgemeinverfü- gung. Allerdings hielt sie sich den Akten zufolge vor ihrer Einreise in die Schweiz in den Niederlanden auf. Dort wurde ihr als vor dem Krieg geflüch- teter Ukrainerin Schutz gewährt, welchen sie mehrere Monate lang in An- spruch nahm. An dieser Tatsache vermag auch der Einwand der Beschwer- deführerin, sie habe in den Niederlanden nie wissentlich und willentlich ein Schutzgesuch gestellt, nichts zu ändern.</w:t>
      </w:r>
    </w:p>
    <w:p>
      <w:r>
        <w:rPr>
          <w:b/>
        </w:rPr>
        <w:t>E. 5.2</w:t>
      </w:r>
    </w:p>
    <w:p>
      <w:r>
        <w:t>Aus dem Schreiben der niederländischen Behörden vom 5. September 2024 (vgl. A13) geht sodann hervor, dass der Schutzstatus der Beschwer- deführerin inzwischen abgelaufen ist; dies mutmasslich aufgrund ihrer frei- willigen Wohnsitzabmeldung (vgl. dazu die als Beweismittel eingereichte Korrespondenz mit den niederländischen Lokalbehörden) beziehungs- weise Ausreise aus den Niederlanden. Angesichts dessen, dass die zu- ständigen niederländischen Behörden der Wiedereinreise der Beschwer- deführerin im erwähnten Schreiben vom 5. September 2024 bedingungslos zugestimmt haben, kann aber ohne weiteres – und ungeachtet ihrer eige- nen, im Mai 2025 unternommenen, erfolglosen Bemühungen, ihren nieder- ländischen Schutzstatus per Fernregistrierung zu erneuern (vgl. dazu die diesbezüglich als Beweismittel eingereichten Dokumente) – davon ausge- gangen werden, dass ihr bei einer Wiedereinreise im Rahmen einer förm- lichen Überstellung (vgl. A12) nach ihrer Ankunft in den Niederlanden in Anwendung der Richtlinie 2001/55/EG des Rates vom 20. Juli 2001 erneut vorübergehender Schutz gewährt werden wird, und zwar bis mindestens</w:t>
      </w:r>
    </w:p>
    <w:p>
      <w:r>
        <w:t>D-3969/2025 Seite 6 am 4. März 2026 (vgl. dazu https://ind.nl/en/ukraine/temporary-protection- directive-ukraine). Ihre in der Beschwerde geäusserte Befürchtung, es werde nicht möglich sein, in den Niederlanden erneut Schutz zu erhalten, erweist sich damit als unbegründet.</w:t>
      </w:r>
    </w:p>
    <w:p>
      <w:r>
        <w:rPr>
          <w:b/>
        </w:rPr>
        <w:t>E. 5.3</w:t>
      </w:r>
    </w:p>
    <w:p>
      <w:r>
        <w:t>Nach dem Gesagten ist die Beschwerdeführerin nicht auf den Schutz der Schweiz angewiesen, und das SEM hat das Gesuch um Gewährung vorübergehenden Schutzes zu Recht abgewiesen (vgl. dazu auch die Ur- teile E-6608/2024 vom 6. November 2024 und D-4896/2022 vom 5. Feb- ruar 2024 E. 5.1).</w:t>
      </w:r>
    </w:p>
    <w:p>
      <w:r>
        <w:rPr>
          <w:b/>
        </w:rPr>
        <w:t>E. 5.4</w:t>
      </w:r>
    </w:p>
    <w:p>
      <w:r>
        <w:t>Entgegen dem entsprechenden Vorbringen in der Beschwerde trifft es im Übrigen nicht zu, dass das SEM seinen Entscheid gestützt auf die Richt- linie 2001/55/EG des Rates vom 20. Juli 2001 getroffen hat. Aus den Er- wägungen des SEM geht vielmehr klar hervor, dass es die Frage, ob die Beschwerdeführerin schutzbedürftig sei, in Anwendung von Schweizer Recht (namentlich Art. 4 AsylG in Verbindung mit der Allgemeinverfügung vom 11. März 2022) sowie der diesbezüglichen Schweizer Rechtspre- chung geprüft hat (vgl. Ziff. II.3 der angefochtenen Verfügung).</w:t>
      </w:r>
    </w:p>
    <w:p>
      <w:r>
        <w:rPr>
          <w:b/>
        </w:rPr>
        <w:t>E. 6.1</w:t>
      </w:r>
    </w:p>
    <w:p>
      <w:r>
        <w:t>Lehnt das SEM ein Gesuch um Gewährung vorübergehenden Schut- zes ab, verfügt es in der Regel die Wegweisung aus der Schweiz und ord- net den Vollzug an (vgl. Art. 69 Abs. 4 AsylG).</w:t>
      </w:r>
    </w:p>
    <w:p>
      <w:r>
        <w:rPr>
          <w:b/>
        </w:rPr>
        <w:t>E. 6.2</w:t>
      </w:r>
    </w:p>
    <w:p>
      <w:r>
        <w:t>Die Beschwerdeführerin verfügt insbesondere weder über eine auslän- derrechtliche Aufenthaltsbewilligung noch über einen Anspruch auf Ertei- 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in die Niederlande zu prüfen. In Bezug auf die Geltendmachung von Wegweisungsvollzugshindernissen gilt gemäss Praxis des Bundesverwaltungsgerichts der gleiche Beweis- standard wie bei der Prüfung der Flüchtlingseigenschaft; das heisst, sie</w:t>
      </w:r>
    </w:p>
    <w:p>
      <w:r>
        <w:t>D-3969/2025 Seite 7 sind zu beweisen, wenn der strikte Beweis möglich ist, und andernfalls we- 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7.2.1</w:t>
      </w:r>
    </w:p>
    <w:p>
      <w:r>
        <w:t>Die Beschwerdeführerin hat in der Schweiz kein Asylgesuch gestellt, und den Akten sind keine Hinweise auf eine Verletzung des flüchtlings- rechtlichen Refoulement-Verbots (vgl. Art. 5 AsylG) zu entnehmen.</w:t>
      </w:r>
    </w:p>
    <w:p>
      <w:r>
        <w:rPr>
          <w:b/>
        </w:rPr>
        <w:t>E. 7.2.2</w:t>
      </w:r>
    </w:p>
    <w:p>
      <w:r>
        <w:t>Soweit die Beschwerdeführerin geltend macht, die Wegweisung in die Niederlande verletzte ihr Recht auf Achtung des Familienlebens (Art. 8 Abs. 1 EMRK), da sie auf die Unterstützung durch ihren in der Schweiz lebenden Sohn angewiesen sei, ist Folgendes festzustellen: Zu dem durch Art. 8 Abs. 1 EMRK geschützten Familienkreis zählt in erster Linie die Kern- familie, das heisst die Gemeinschaft der Ehe- bzw. Konkubinatspartner mit ihren minderjährigen Kindern. Anderweitige nahe verwandtschaftliche Be- ziehungen sind nur geschützt, wenn zwischen der in der Schweiz ansässi- gen Person und der sich auf den Schutz von Art. 8 EMRK berufenden aus- ländischen Person ein besonderes Abhängigkeitsverhältnis besteht, na- mentlich aufgrund von besonderen Betreuungs- und Pflegebedürfnissen (vgl. dazu Urteil des Bundesgerichts 2C_769/2022 E. 6.1 m.w.H.). Ferner wird vorausgesetzt, dass der sich in der Schweiz aufhaltende Familienan- gehörige über ein gefestigtes Anwesenheitsrecht verfügt (Schweizer Bür- gerrecht, Niederlassungsbewilligung, Aufenthaltsbewilligung, die auf ei- nem gefestigten Rechtsanspruch beruht [vgl. BGE 144 II 1 E. 6.1). In Aus- nahmefällen können sich auch Personen auf Art. 8 Abs. 1 EMRK berufen, deren Anwesenheit rechtlich nicht geregelt ist beziehungsweise die allen- falls über kein gefestigtes Aufenthaltsrecht verfügen, deren Anwesenheit aber faktisch als Realität hingenommen wird beziehungsweise die aus ob- jektiven Gründen hingenommen werden muss (vgl. BGE 138 I 246 E. 3.3.1; BGE 130 II 281 E. 3.2.2). Im vorliegenden Fall kann Art. 8 Abs. 1 EMRK der Beschwerdeführerin schon deshalb keinen Aufenthaltsanspruch ver- mitteln, weil ihr Sohn in der Schweiz lediglich über einen – nota bene rück- kehrorientierten und voraussichtlich nur noch bis zum 4. März 2026</w:t>
      </w:r>
    </w:p>
    <w:p>
      <w:r>
        <w:t>D-3969/2025 Seite 8 gültigen – Schutzstatus und damit weder über ein gefestigtes noch über ein faktisch als Realität hinzunehmendes, für unabsehbare Zeit bestehen- des Anwesenheitsrecht im Sinne der Rechtsprechung verfügt. Überdies ist davon auszugehen, dass die von der Beschwerdeführerin benötigte Unter- stützung auch durch Drittpersonen geleistet werden kann. Es ist zwar nachvollziehbar, dass die Beschwerdeführerin durch ihren Sohn betreut werden möchte, aber aufgrund der Aktenlage erscheint dies keineswegs unabdingbar im Sinne der einschlägigen Rechtsprechung (vgl. bspw. Urteil des Bundesgerichts 2C_682/2022 E. 4.3 ff.). Bei den Unterstützungsleis- tungen (Hilfe bei Alltagstätigkeiten, Begleitung ausserhalb des Hauses, Verabreichung von Medikamenten, administrative Hilfeleistungen) handelt es sich vielmehr um Tätigkeiten, welche ohne weiters auch von Haushalts- hilfen, Pflegepersonal, Nachbarn oder Bekannten ausgeführt werden kön- nen. Es ist ferner durchaus glaubhaft, dass zwischen der Beschwerdefüh- rerin und ihrem Sohn eine starke emotionale Bindung besteht. Der Be- schwerdeführerin war es indes dennoch möglich, sich im Jahr (…) mehrere Monate lang ohne ihren Sohn in den Niederlanden sowie in der Ukraine aufzuhalten, und der Umzug in die Schweiz erfolgte offenbar nur, weil ihre Tochter geplant hatte, in die USA zu emigrieren (vgl. A19 S. 2). Aus diesen Gründen ist auch das Vorliegen eines besonderen, personenspezifischen Abhängigkeitsverhältnisses zwischen der Beschwerdeführerin und ihrem erwachsenen Sohn zu verneinen. Eine durch den Vollzug der Wegweisung in die Niederlande drohende Verletzung von Art. 8 Abs. 1 EMRK ist somit zu verneinen.</w:t>
      </w:r>
    </w:p>
    <w:p>
      <w:r>
        <w:rPr>
          <w:b/>
        </w:rPr>
        <w:t>E. 7.2.3</w:t>
      </w:r>
    </w:p>
    <w:p>
      <w:r>
        <w:t>Sodann ergeben sich weder aus den Aussagen der Beschwerdefüh- rerin noch aus den Akten Anhaltspunkte dafür, dass sie für den Fall einer Ausschaffung in die Niederlande dort mit beachtlicher Wahrscheinlichkeit (d.h. im Sinne eines «real risk»; vgl. dazu EGMR [Grosse Kammer], Saadi gegen Italien, Urteil vom 28. Februar 2008, Beschwerde Nr. 37201/06, §§ 124 – 127, m.w.H.) einer nach Art. 3 EMRK oder Art. 1 FoK verbotenen Strafe oder Behandlung ausgesetzt wäre. Die Niederlande sind Signatar- staat der EMRK, der FoK und der FK sowie des Zusatzprotokolls der FK vom 31. Januar 1967 (SR 0.142.301) und kommen ihren diesbezüglichen völkerrechtlichen Verpflichtungen grundsätzlich nach. Die Beschwerdefüh- rerin hat denn auch nichts Gegenteiliges dargetan.</w:t>
      </w:r>
    </w:p>
    <w:p>
      <w:r>
        <w:rPr>
          <w:b/>
        </w:rPr>
        <w:t>E. 7.2.4</w:t>
      </w:r>
    </w:p>
    <w:p>
      <w:r>
        <w:t>Nach dem Gesagten ist der Vollzug der Wegweisung zulässig.</w:t>
      </w:r>
    </w:p>
    <w:p>
      <w:r>
        <w:rPr>
          <w:b/>
        </w:rPr>
        <w:t>E. 7.3</w:t>
      </w:r>
    </w:p>
    <w:p>
      <w:r>
        <w:t>Gemäss Art. 83 Abs. 4 AIG kann der Vollzug für Ausländerinnen und Ausländer unzumutbar sein, wenn sie im Heimat- oder Herkunftsstaat</w:t>
      </w:r>
    </w:p>
    <w:p>
      <w:r>
        <w:t>D-3969/2025 Seite 9 aufgrund von Situationen wie Krieg, Bürgerkrieg, allgemeiner Gewalt und medizinischer Notlage konkret gefährdet sind. Wird eine konkrete Gefähr- dung festgestellt, ist – unter Vorbehalt von Art. 83 Abs. 7 AIG – die vorläu- fige Aufnahme zu gewähren. Hinsichtlich der Frage der Zumutbarkeit des Wegweisungsvollzugs ist vorab auf Art. 83 Abs. 5 AIG zu verweisen, wonach die Wegweisung in ei- nen EU- oder EFTA-Staat vermutungsweise zumutbar ist. Die Beschwer- deführerin bringt nichts vor, was diese Vermutung widerlegen könnte. Ihre medizinischen Probleme (namentlich […] [vgl. dazu den Arztbericht vom 14. Mai 2025] sowie eigenen Angaben zufolge überdies […] sowie zwi- schenzeitlich bereits behandelte Augenerkrankungen [{…}]) sind nicht der- art gravierend, als dass sie eine vollzugshemmende medizinische Notlage begründen könnten, zumal die Niederlande über eine ausreichende medi- zinische Infrastruktur verfügen und die Beschwerdeführerin sowohl die be- nötigten medizinischen Behandlungen als auch die allenfalls nötigen Be- treuungsdienstleistungen (wie beispielsweise häusliche Pflege bezie- hungsweise Langzeitpflege) somit auch dort erhalten kann. Gemäss der Richtlinie 2001/55/EG des Rates vom 20. Juli 2001 haben Personen, wel- che gestützt auf diese Richtlinie vorübergehenden Schutz erhalten, unter anderem Anspruch auf medizinische Versorgung sowie angemessenen Wohnraum und Sozialleistungen (vgl. Art. 13 der Richtlinie). Es ist daher nicht davon auszugehen, dass die Beschwerdeführerin bei einer Rückkehr in die Niederlande dort in eine existenzielle Notlage geraten wird. Sollte sie der Meinung sein, ihr würden die ihr gemäss der erwähnten Richtlinie zu- stehenden Rechte vorenthalten, ist es ihr unbenommen, sich bei den zu- ständigen niederländischen Behörden zu beschweren. Ungeachtet des- sen, dass die Beschwerdeführerin in den Niederlanden aktuell über keine Verwandten oder Bekannten verfügt, ist der Vollzug der Wegweisung dort- hin somit als zumutbar zu erachten.</w:t>
      </w:r>
    </w:p>
    <w:p>
      <w:r>
        <w:rPr>
          <w:b/>
        </w:rPr>
        <w:t>E. 7.4</w:t>
      </w:r>
    </w:p>
    <w:p>
      <w:r>
        <w:t>Der Vollzug der Wegweisung erweist sich schliesslich auch als möglich im Sinne von Art. 83 Abs. 2 AIG, zumal die niederländischen Behörden ei- ner Rückübernahme der Beschwerdeführerin ausdrücklich zugestimmt ha- ben.</w:t>
      </w:r>
    </w:p>
    <w:p>
      <w:r>
        <w:rPr>
          <w:b/>
        </w:rPr>
        <w:t>E. 7.5</w:t>
      </w:r>
    </w:p>
    <w:p>
      <w:r>
        <w:t>Zusammenfassend ist festzustellen, dass die Vorinstanz den Wegwei- sungsvollzug in die Niederlande zu Recht als zulässig, zumutbar und mög- lich bezeichnet hat. Eine Anordnung der vorläufigen Aufnahme fällt damit ausser Betracht (Art. 83 Abs. 1–4 AIG).</w:t>
      </w:r>
    </w:p>
    <w:p>
      <w:r>
        <w:t>D-3969/2025 Seite 10</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Mit dem vorliegenden Urteil ist das Beschwerdeverfahren abgeschlos- sen. Die Gesuche, der Beschwerde sei die aufschiebende Wirkung zu ge- währen, und es sei auf die Erhebung eines Kostenvorschusses zu verzich- ten, sind damit gegenstandslos geworden.</w:t>
      </w:r>
    </w:p>
    <w:p>
      <w:r>
        <w:rPr>
          <w:b/>
        </w:rPr>
        <w:t>E. 9.2</w:t>
      </w:r>
    </w:p>
    <w:p>
      <w:r>
        <w:t>Die Gesuche um Gewährung der unentgeltlichen Prozessführung und amtliche Verbeiständung sind ungeachtet der geltend gemachten Prozess- armut abzuweisen, da sich die Beschwerdebegehren als aussichtslos er- wiesen haben.</w:t>
      </w:r>
    </w:p>
    <w:p>
      <w:r>
        <w:rPr>
          <w:b/>
        </w:rPr>
        <w:t>E. 9.3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D-3969/2025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