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D-3969/2011 vom 29. August 2012</w:t>
      </w:r>
    </w:p>
    <w:p>
      <w:r>
        <w:t>Bundesverwaltungsgericht, 2012-08-29, DE</w:t>
      </w:r>
    </w:p>
    <w:p>
      <w:r>
        <w:rPr>
          <w:b/>
        </w:rPr>
        <w:t xml:space="preserve">Quelle: </w:t>
      </w:r>
      <w:r>
        <w:t>https://mcp.opencaselaw.ch/entscheid/bvger_D-3969_2011</w:t>
      </w:r>
    </w:p>
    <w:p>
      <w:r>
        <w:t>FR: TAF D-3969/2011 du 29 août 2012</w:t>
      </w:r>
    </w:p>
    <w:p>
      <w:r>
        <w:t>IT: TAF D-3969/2011 del 29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Gestützt auf Art. 111a Abs. 1 AsylG wurde vorliegend auf die Durchführung eines Schriftenwechsels verzichtet.</w:t>
      </w:r>
    </w:p>
    <w:p>
      <w:r>
        <w:rPr>
          <w:b/>
        </w:rPr>
        <w:t>E. 2</w:t>
      </w:r>
    </w:p>
    <w:p>
      <w:r>
        <w:t>Vorab werden in der Beschwerde formelle Rügen erhoben. Das BFM habe die Begründungspflicht verletzt und damit den Anspruch des Beschwerdeführers auf rechtliches Gehör. Zudem habe das BFM den Sachverhalt nur ungenügend festgestellt.</w:t>
      </w:r>
    </w:p>
    <w:p>
      <w:r>
        <w:rPr>
          <w:b/>
        </w:rPr>
        <w:t>E. 3.1</w:t>
      </w:r>
    </w:p>
    <w:p>
      <w:r>
        <w:t>Der Anspruch der Beschwerdepartei auf rechtliches Gehör (Art. 29 Abs. 2 BV;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Christoph Auer/Markus Müller/Benjamin Schindler [Hrsg.], Kommentar zum VwVG, Zürich/ St. Gallen 2008, Art. 26, N 2; Alfred Kölz/Isabelle Häner, Verwaltungsverfahren und Verwaltungsrechtspflege des Bundes, 2. Aufl., Zürich 1998, Rz. 295; Bernhard Waldmann/Magnus Oeschger, in: Bernhard Waldmann/Phi­lippe Weissenberger [Hrsg.], Praxiskommentar VwVG, Zürich/ 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 Alexandra Schwank, in: Waldmann/Weissenberger [Hrsg.], a.a.O., Art. 35, N 10, 17).</w:t>
      </w:r>
    </w:p>
    <w:p>
      <w:r>
        <w:rPr>
          <w:b/>
        </w:rPr>
        <w:t>E. 3.1.1</w:t>
      </w:r>
    </w:p>
    <w:p>
      <w:r>
        <w:t>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wird auf die erwähnte Dienstreise sowie die UNHCR-Richtlinien vom 5. Juli 2010 hingewiesen, anderweitigen Quellen werden nicht genannt. Somit ist objektiv davon auszugehen, dass die Erkenntnisse des Bundesamts, welche zur Begründung einer Praxisänderung in Bezug auf die Beurteilung der Durchführbarkeit des Wegweisungsvollzugs nach Sri Lanka herangezogen werden, unter anderem auf die Dienstreise vom Herbst 2010 zurückgehen. Mit anderen Worten stützt sich die angefochtene Verfügung in entscheidwesentlicher Weise auf die Informationen, welche aufgrund der Reise einer Delegation des BFM nach Sri Lanka gewonnen wurden.</w:t>
      </w:r>
    </w:p>
    <w:p>
      <w:r>
        <w:rPr>
          <w:b/>
        </w:rPr>
        <w:t>E. 3.1.2</w:t>
      </w:r>
    </w:p>
    <w:p>
      <w:r>
        <w:t>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Herbst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Der Anspruch des Beschwerdeführers auf Einsicht in die Ergebnisse der Dienstreise setzt vielmehr voraus, dass ihm diese zumindest in Form einer schriftlichen Zusammenfassung zugänglich gemacht werden. Dabei hat diese Zusammenfassung alle wesentlichen Aspekte wiederzugeben, welche für die aufgrund der Dienstreise getroffenen Einschätzungen von konkreter Bedeutung sind.</w:t>
      </w:r>
    </w:p>
    <w:p>
      <w:r>
        <w:rPr>
          <w:b/>
        </w:rPr>
        <w:t>E. 3.1.3</w:t>
      </w:r>
    </w:p>
    <w:p>
      <w:r>
        <w:t>Das BFM hat sich auf den Dienstreisebericht des BFM vom September 2010 in der angefochtenen Verfügung gestützt, nähere diesbezügliche Ausführungen jedoch unterlassen. 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(vgl. BGE 133 I 201 und BGE 132 V 387), und die fehlende Entscheidreife durch die Beschwerdeinstanz mit vertretbarem Aufwand hergestellt werden kann (vgl. EMARK 1994 Nr. 1 E. 6b S. 15 ff. und EMARK 2004 Nr. 38 E. 7.1 S. 265; vom BVGer bestätigt in BVGE 2007/30 E. 8.2, im gleichen Sinne BVGE 2007/27 E. 10.1 S. 332, wobei gemäss diesem Entscheid eine Heilung die Ausnahme bleiben soll).</w:t>
      </w:r>
    </w:p>
    <w:p>
      <w:r>
        <w:rPr>
          <w:b/>
        </w:rPr>
        <w:t>E. 3.1.4</w:t>
      </w:r>
    </w:p>
    <w:p>
      <w:r>
        <w:t>Das Bundesverwaltungsgericht hat das BFM im Rahmen eines anderen hängigen Verfahrens mit Schreiben vom 29. November 2011 angewiesen, die Ergebnisse der Dienstreise nach Sri Lanka vom September 2010 schriftlich zusammenzufassen und dem Bundesverwaltungsgericht zu übermitteln. Daraufhin übermittelte das BFM mit Schreiben vom 22. Dezember 2011 die verlangte Zusammenfassung der Ergebnisse der Dienstreise nach Sri Lanka vom September 2010.</w:t>
      </w:r>
    </w:p>
    <w:p>
      <w:r>
        <w:rPr>
          <w:b/>
        </w:rPr>
        <w:t>E. 3.1.5</w:t>
      </w:r>
    </w:p>
    <w:p>
      <w:r>
        <w:t>Mit Zwischenverfügung vom 2. April 2012 wurde dem Beschwerdeführer eine Kopie der erwähnten Zusammenfassung übermittelt. Gleichzeitig wurde ihm die Gelegenheit gegeben, dazu bis am 17. April 2012, eine Stellungnahme einzureichen. Mit Eingabe vom 17. April 2012 liess er sich diesbezüglich vernehmen. Angesichts der ihr gewährten Gelegenheit zur Stellungnahme kann der vorliegende Verfahrensmangel als geheilt erachtet werden (vgl. BVGE 2008/47 E. 3.3.4 S. 676 f.)</w:t>
      </w:r>
    </w:p>
    <w:p>
      <w:r>
        <w:rPr>
          <w:b/>
        </w:rPr>
        <w:t>E. 3.2</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Kölz/Häner,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da die Vorbringen des Beschwerdeführers offensichtlich unglaubhaft sind (siehe nachfolgend E. 5.). Die entsprechenden Beweisanträge werden demnach abgewiesen.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Beschwerdeeingabe vom 6. April 2011 sind nicht geeignet, eine Änderung der vorinstanzlichen Verfügung zu bewirken. Der Argumentation werden keine stichhaltigen und substanziierten Gründe entgegengesetzt. Eine diesbezügliche Auseinandersetzung unterbleibt zwar nicht, doch vermögen die Ausführungen der Beschwerdeführerin, welche im wesentlichen an der Glaubhaftigkeit sowie der Asylrelevanz ihrer Vorbringen festhält, die nachvollziehbaren Erwägungen des BFM nicht umzustossen. Für das Bundesverwaltungsgericht besteht nach Überprüfung der Akten keine Veranlassung, die Erwägungen des Bundesamtes zu beanstanden. Um Wiederholungen zu vermeiden kann auf die zutreffenden Ausführungen in der angefochtenen Verfügung verwiesen werden. Zudem spricht der Umstand, dass der Beschwerdeführer eigenen Angaben zufolge Sri Lanka im Rahmen seiner Geschäftsreisen nach Indien mehrmals und mit seinem eigenen Reisepass über den Flughafen Colombo (...), dem einzigen internationalen Flughafen Sri Lankas, verlassen (vgl. A1/11 S. 8 F. 18; A16/16 S. 4 F. 15 f.) und ungehindert wieder einreisen konnte (auch nach der Ermordung von F._______ sei er erst zu Hause verhaftet worden (vgl. A16/16 S. 8 F. 73 f.) und er bei der Ausreise aus Sri Lanka am 28. Februar 2008 am Flughafen seinen Reisepass gezeigt haben will (vgl. A16/16 S. 11 F. 126) im sri-lankischen Kontext gegen eine asylrelevante Verfolgung.</w:t>
      </w:r>
    </w:p>
    <w:p>
      <w:r>
        <w:rPr>
          <w:b/>
        </w:rPr>
        <w:t>E. 5.2</w:t>
      </w:r>
    </w:p>
    <w:p>
      <w:r>
        <w:t>Aufgrund der vorstehenden Erwägungen erübrigt es sich, auf die weiteren Ausführungen in der Beschwerde und die eingereichten Beweismittel im Einzelnen einzugehen, da sie am Ergebnis der vorgenommenen Würdigung nichts zu ändern vermögen.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Gemäss öffentlich zugänglichen Quellen ist heute im Heimatstaat der Beschwerdeführenden von einer seit Ende des bewaffneten Konflikts zwischen der sri-lankischen Armee und den LTTE im Mai 2009 erheblich verbesserten Menschenrechts- und Sicherheitslage auszugehen, auch wenn sich das Land immer noch in einem Entwicklungsprozess befindet (vgl. BVGE 2011/24 E. 12 S.509).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 Die Lage präsentiert sich jedoch nicht in allen Landesteilen gleich und muss differenziert beurteilt werden.</w:t>
      </w:r>
    </w:p>
    <w:p>
      <w:r>
        <w:rPr>
          <w:b/>
        </w:rPr>
        <w:t>E. 7.6</w:t>
      </w:r>
    </w:p>
    <w:p>
      <w:r>
        <w:t>Auch in der Ostprovinz hat sich die Lage nach übereinstimmenden Quellen weitgehend stabilisiert und normalisiert. Bereits im Jahr 2009 haben die Sicherheitsbeschränkungen im Trincomalee-District merklich abgenommen und auch die Sicherheitslage in Batticaloa hat sich ebenfalls merklich verbessert, obwohl die Stadt nach wie vor eine hohe Militärpräsenz aufweist (vgl. BVGE 2011/24 E. 13.1 S. 509 f.). Die seit dem Jahr 2009 erfolgte Entspannung der Sicherheitslage in der Ostprovinz ist auch für die lokale Bevölkerung spürbar, und der Fortschritt ist erkennbar geworden: Die Infrastruktur wird ausgebaut und man spricht in diesem Zusammenhang von grossangelegten Entwicklungsprojekten (vgl. a.a.O., mit Hinweis). Das Bundesverwaltungsgericht erachtet aufgrund der dort herrschenden allgemeinen Lage - in Übereinstimmung mit dem BFM - den Wegweisungsvollzug in das gesamte Gebiet der Ostprovinz grundsätzlich als zumutbar.</w:t>
      </w:r>
    </w:p>
    <w:p>
      <w:r>
        <w:rPr>
          <w:b/>
        </w:rPr>
        <w:t>E. 7.7</w:t>
      </w:r>
    </w:p>
    <w:p>
      <w:r>
        <w:t>Eigenen Angaben zufolge stammt der Beschwerdeführer aus der Ostprovinz. Seit seiner Kindheit hat er immer in C._______ an verschiedenen Adressen gelebt (vgl. Akten der Vorinstanz A1/11 S. 2). Lediglich die letzten beiden Jahre vor seiner Ausreise hat er in D._______ verbracht (vgl. a.a.O.), wo er im Haus eins Onkels mütterlicherseits gelebt habe (vgl. A16/16 S. 6 F. 51 und S. 7 F. 53 ff.). Der Beschwerdeführer hat somit den grössten Teil seines Lebens in Sri Lanka in der Ostprovinz verbracht, wo seine Mutter (vgl. A16/16 S. 3 F. 12) noch heute in G._______ C._______ (C._______ District) lebt.</w:t>
      </w:r>
    </w:p>
    <w:p>
      <w:r>
        <w:rPr>
          <w:b/>
        </w:rPr>
        <w:t>E. 7.8</w:t>
      </w:r>
    </w:p>
    <w:p>
      <w:r>
        <w:t>Im Rahmen der Befragungen hat der Beschwerdeführer vorgetragen, er habe die Schule mit dem A-Level abgeschlossen (vgl. A1/11 S. 2) und seinen Lebensunterhalt in Sri Lanka mit einem eigenen Lebensmittelladen sowie einem Transportgeschäft verdienst (vgl. a.a.O.). Er habe nicht nur Angehörige in Sri Lanka, sondern auch im Ausland. So lebe sein Bruder in Dubai, seine Schwester in der Schweiz und ein Onkel mütterlicherseits in Kanada (vgl. a.a.O.). Aufgrund der persönlichen Verhältnisse des Beschwerdeführers ist vom Vorliegen begünstigender Faktoren auszugehen. Der Beschwerdeführer hat den grössten Teil seines Lebens in Sri Lanka verbracht, wo seinen Angaben zufolge seine Mutter noch immer lebt (vgl. vorstehend E. 7.7). Es ist somit anzunehmen, dass er bei einer Rückkehr nach Sri Lanka auf ein existierendes, tragfähiges familiäres Netz stossen wird, und ihm seine Angehörigen bei der Wiedereingliederung in Sri Lanka gegebenenfalls Unterstützung gewähren. Seinen eigenen Angaben zufolge kam sein Onkel aus Kanada für die Bezahlung seines Lösegeldes auf (vgl. A1/11 S. 5; A16/16 S. 10 F. 102 f.). Es ist deshalb davon auszugehen, dass der Beschwerdeführer auch in Zukunft auf finanzielle Unterstützung seiner im Ausland lebenden Angehörigen vertrauen darf, falls dies erforderlich sein sollte.</w:t>
      </w:r>
    </w:p>
    <w:p>
      <w:r>
        <w:rPr>
          <w:b/>
        </w:rPr>
        <w:t>E. 7.9</w:t>
      </w:r>
    </w:p>
    <w:p>
      <w:r>
        <w:t>Es bestehen demnach keine konkreten Anhaltspunkte dafür, dass der Beschwerdeführer bei einer Rückkehr nach Sri Lanka in eine existenzielle Notlage geraten würde. 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Aufgrund des Ausgangs des Verfahrens wären dem Beschwerdeführer die gesamten Kosten aufzuerlegen (Art. 37 VGG i.V.m. Art. 63 Abs. 1 VwVG). Zu berücksichtigen ist jedoch, dass die Rüge, das BFM habe das Recht des Beschwerdeführers auf rechtliches Gehör verletzt, nicht unbegründet ist. Von der Kassation der angefochtenen Verfügung ist lediglich deshalb abzusehen, weil die festgestellte Verletzung von Bundesrecht für den Beschwerdeführer letztlich nicht mit erheblichen Nachteilen verbunden war und diese deshalb nicht als schwerwiegend zu beurteilen sind. Es rechtfertigt sich unter diesen Umständen, dem Beschwerdeführer keine Verfahrenskosten aufzuerlegen (vgl. BVGE 2007/9 E. 7.2 S. 109).</w:t>
      </w:r>
    </w:p>
    <w:p>
      <w:r>
        <w:rPr>
          <w:b/>
        </w:rPr>
        <w:t>E. 12</w:t>
      </w:r>
    </w:p>
    <w:p>
      <w:r>
        <w:t>Unter diesem Umständen ist dem Beschwerdeführer zudem für die ihm erwachsenen notwendigen Kosten eine Parteientschädigung zuzusprechen (vgl. Art. 64 Abs. 1 VwVG; Art. 7 ff. des Reglements vom 21. Februar 2008 über die Kosten und Entschädigungen vor dem Bundesverwaltungsgericht [VGKE, SR 173.320.2]), die in Anwendung der zu berücksichtigenden Faktoren auf Fr. 500.-- bemessen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