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D-3967/2024 vom 10. März 2026</w:t>
      </w:r>
    </w:p>
    <w:p>
      <w:r>
        <w:t>Bundesverwaltungsgericht, 2026-03-10, DE</w:t>
      </w:r>
    </w:p>
    <w:p>
      <w:r>
        <w:rPr>
          <w:b/>
        </w:rPr>
        <w:t xml:space="preserve">Quelle: </w:t>
      </w:r>
      <w:r>
        <w:t>https://mcp.opencaselaw.ch/entscheid/bvger_D-3967_2024</w:t>
      </w:r>
    </w:p>
    <w:p>
      <w:r>
        <w:t>FR: TAF D-3967/2024 du 10 mars 2026</w:t>
      </w:r>
    </w:p>
    <w:p>
      <w:r>
        <w:t>IT: TAF D-3967/2024 del 10 marzo 2026</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behandeln sind, da sie allenfalls geeignet sein könnten, eine Kassation der vorinstanzlichen Verfügung zu bewirken (vgl. BVGE 2013/34 E. 4.2).</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3.4</w:t>
      </w:r>
    </w:p>
    <w:p>
      <w:r>
        <w:t>Der Beschwerdeführer rügte, die Vorinstanz habe den Sachverhalt einseitig sowie lediglich zu seinen Ungunsten bewertet. Sie habe grammatikalische und inhaltliche Auslegungen entgegen der schlüssigen und widerspruchsfreien Erklärung des Beschwerdeführers vorgenommen und sich vorwiegend auf (unzulässige) Plausibilitätsüberlegungen gestützt. Aus den vorinstanzlichen Erwägungen müsse zudem geschlossen werden, dass der rechtserhebliche Sachverhalt ungenügend erstellt worden sei. Mit ihrer Begründung, in denen sie sich grösstenteils von Plausibilitätsüberlegungen habe leiten lassen, verletze sie ausserdem die Begründungspflicht.</w:t>
      </w:r>
    </w:p>
    <w:p>
      <w:r>
        <w:rPr>
          <w:b/>
        </w:rPr>
        <w:t>E. 3.5.1</w:t>
      </w:r>
    </w:p>
    <w:p>
      <w:r>
        <w:t>Das Gericht kommt zum Schluss, dass die Vorinstanz ihre Untersuchungspflicht nicht verletzt und den Sachverhalt genügend erstellt hat. Der Beschwerdeführer wurde während zwei Anhörungen über seine Fluchtgründe befragt, wobei die anwesende Rechtsvertretung anlässlich der ersten Anhörung diverse Fragen stellte und anregte, dass eine weitere Anhörung stattfinden müsse. Sodann bestätigte der Beschwerdeführer am Schluss der ergänzenden Anhörung, dass er alle seine Fluchtgründe habe detailliert und ausführlich vorbringen können. Ferner ist dem Anhörungsprotokoll zu entnehmen, dass die anwesende Rechtsvertretung keine weiteren Fragen zum Sachverhalt stellen liess (vgl. SEM-Akten A13/15 F63.64, F86-89, F104; A27/19 F96). Alsdann nahm die Vorinstanz in ihrer Vernehmlassung Bezug zu den erst auf Beschwerdeebene eingereichten Beweismitteln und nahm ausführlich Stellung dazu (vgl. Bst. L hiervor). Daher ist festzustellen, dass der Sachverhalt ausreichend erstellt wurde. Mit der Begründung, der Sachverhalt sei ungenügend erstellt worden, wird ferner die Frage der Feststellung des rechtserheblichen Sachverhalts mit derjenigen der rechtlichen Würdigung vermengt. Dass sich der Beschwerdeführer eine andere materielle Würdigung des Sachverhalts erhofft, kann nicht als Verletzung des Untersuchungsgrundsatzes qualifiziert werden.</w:t>
      </w:r>
    </w:p>
    <w:p>
      <w:r>
        <w:rPr>
          <w:b/>
        </w:rPr>
        <w:t>E. 3.5.2</w:t>
      </w:r>
    </w:p>
    <w:p>
      <w:r>
        <w:t>Sodann ist nicht ersichtlich, inwiefern die Begründungspflicht verletzt sein sollte. Entgegen der Argumentation des Beschwerdeführers hat die Vorinstanz in ihrer Verfügung ausführlich dargelegt, von welchen Überlegungen sie sich leiten liess und weshalb sie die Vorbringen des Beschwerdeführers als nicht glaubhaft erachtete (vgl. SEM-Akte A28/10 S. 5-7). Zudem ist die Verfügung inhaltlich und sprachlich so abgefasst, dass der Beschwerdeführer sie sachgerecht anfechten konnte, was durch die Einreichung der vorliegenden Beschwerdeschrift bestätigt wird.</w:t>
      </w:r>
    </w:p>
    <w:p>
      <w:r>
        <w:rPr>
          <w:b/>
        </w:rPr>
        <w:t>E. 3.6</w:t>
      </w:r>
    </w:p>
    <w:p>
      <w:r>
        <w:t>Aus den vorangehenden Erwägungen ergibt sich, dass vorliegend keine formellen Rügen erkennbar sind. Der Subsubeventualantrag der Rückweisung der Sache zwecks rechtsgenüglicher Begründung an die Vorinstanz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5.1</w:t>
      </w:r>
    </w:p>
    <w:p>
      <w:r>
        <w:t>Die Vorinstanz kam in ihrer ablehnenden Verfügung zum Schluss, dass die Schilderungen des Beschwerdeführers den Anforderungen an Art. 7 AsylG an die Glaubhaftmachung nicht genügen würden und führte dazu im Wesentlichen aus, dass es nicht nachvollziehbar sei, dass der Beschwerdeführer ausgerechnet im Jahr 2023 durch die sri-lankischen Behörden aufgesucht und in solch drastischer Weise befragt worden sein soll. Es mute seltsam an, dass ihm zuvor nie etwas Negatives durch die heimatlichen Behörden widerfahren sei. Weitere Zweifel würden darin bestehen, dass das CID ihn wiederholt vorgeladen habe, ohne dabei zu einem Ergebnis gekommen zu sein, es erscheine äusserst fragwürdig, dass sich mehrere Personen wiederholt die Mühe gemacht hätten, ihn während Stunden zu foltern, lediglich um ein Geständnis von ihm einzuholen, wonach er als knapp (...)jähriger bei den LTTE gewesen sein soll. Insbesondere erstaune es, dass sich die heimatlichen Behörden seit Beendigung des Krieges fast vierzehn Jahre Zeit für entsprechende Befragungen gelassen hätten, zumal davon auszugehen gewesen wäre, dass sie bei tatsächlichem Interesse an ihm bereits früher aktiv geworden wären. Ebenfalls überraschend seien seine Schilderungen, wonach er der Vorladung im Mai 2023 habe konsequenzlos fernbleiben können mit der Begründung, dass die Folter unerträglich gewesen sei und er sich berufsbedingt in einem anderen Distrikt aufgehalten habe. Es erstaune, dass er die beiden Gründe für sein Fernbleiben gleich stark gewichte, zumal ein wesentlicher Unterschied zwischen der Angst sowie der Ungewissheit aufgrund von bevorstehenden Folterungen und der physischen Unmöglichkeit, aus beruflichen Gründen einen Termin nicht wahrnehmen zu können, bestehe. Vielmehr wäre bei einer realen Angst vor Misshandlungen naheliegender gewesen, bereits zu diesem Zeitpunkt zu flüchten und nicht im Juni 2023 erneut beim CID zu erscheinen und sich quasi willentlich erneuten Folterungen auszusetzen. Sodann seien seine Schilderungen zu den drei Befragungen beim CID vage ausgefallen und er habe kaum etwas zu deren Inhalt oder der zu unterschreibenden Schuldanerkennung respektive Mitgliedschaftsbestätigung bei den LTTE wiedergeben können. Es ergebe keinen Sinn, dass dieses Dokument in singhalesischer Sprache verfasst gewesen sei, vielmehr erschiene es wahrscheinlicher, dass ein solches Dokument in einer ihm geläufigen Sprache verfasst worden wäre, zumal mit der Unterschrift seine Mitgliedschaft habe bewiesen werden wollen. Zur Beweisführung der Behörden wäre es jedoch hinderlich, wenn er ein Schreiben auf Singhalesisch unterschrieben hätte, dessen Inhalt er gar nicht verstehe. Insgesamt seien seine Schilderungen in den wesentlichen Punkten unglaubhaft und würden der allgemeinen Erfahrung und Logik des Handelns widersprechen. Ferner seien seine Ausführungen zu den drei Befragungen widersprüchlich. Einerseits falle es auf, dass er erst auf Nachfrage der an der Anhörung anwesenden Rechtsvertretung von seiner Vorladung gesprochen habe, ohne dass er von sich aus darüber berichtet hätte. Anderseits habe er zuvor widersprüchlich angegeben, nach der zweiten Vorladung die Beamten nicht mehr gesehen zu haben. Seine diesbezügliche Erklärung, dass er chronologisch habe erzählen wollen, überzeuge nicht. Ferner sei es zu Widersprüchen des Verhörs vom März 2023 gekommen; in der ersten Anhörung habe er ausgeführt, an den Händen geschlagen sowie gefoltert und nach mehreren Stunden wieder freigelassen worden zu sein. In der ergänzenden Anhörung hingegen habe er erklärt, mit Schuhen getreten und an den Wangen geschlagen worden seien. Ferner sei es kaum nachvollziehbar, was bei seiner ersten Befragung im März 2023 tatsächlich geschehen sei, zumal mit seinen Schilderungen von mehrstündiger Folter und einer Befragung, die «nicht so schlimm» gewesen sei, eine weite Spanne geöffnet werde. Bezüglich der Vernehmung im Juni habe er ausserdem zuerst dargelegt, mit einem Fahrzeug an einen anderen Ort gebracht, wobei ihm während der Fahrt die Augen verbunden und die Hände gefesselt worden seien. Ausserdem sei ihm sein linker Zeigefingernagel ausgerissen worden. Wohingegen er in der ergänzenden Anhörung erklärt habe, dass ihm die Augen verbunden worden seien und er an Händen und Füssen gefesselt worden sei. Während der Misshandlungen sei ihm eine mit Benzin getränkte Plastiktüte über den Kopf gestülpt worden. Es sei nicht nachvollziehbar, dass er eine solch belastende Erfahrung in seiner ersten Anhörung unerwähnt gelassen habe.</w:t>
      </w:r>
    </w:p>
    <w:p>
      <w:r>
        <w:rPr>
          <w:b/>
        </w:rPr>
        <w:t>E. 5.2</w:t>
      </w:r>
    </w:p>
    <w:p>
      <w:r>
        <w:t>Der Beschwerdeführer stellte sich in der Beschwerdeschrift im Wesentlichen auf den Standpunkt, dass die Erwägungen der Vorinstanz, wonach seine massgebenden Schilderungen der allgemeinen Erfahrung und Logik des Handelns widersprechen würden, sich im Kern auf die Plausibilität stützen würden. Plausibilitätsüberlegungen seien in der Glaubhaftigkeitsprüfung jedoch lediglich sehr zurückhaltend anzuwenden, zumal menschliches Verhalten nicht stets einer bestimmten Logik folge. Aufgrund einer nicht unmittelbar nachvollziehbaren Verhaltensweise könne nicht direkt auf die Unglaubhaftigkeit von Schilderungen geschlossen werden. Zudem habe das Bundesverwaltungsgericht in mehreren Urteilen festgestellt, dass lediglich naturwissenschaftliche, biologische und physikalische Tatsachen unter dem Aspekt der Plausibilität zu bewerten seien. Die Argumentation der Vorinstanz, wonach es unglaubhaft sei, dass ihn der CID erst 2023 und nicht früher aufgesucht habe, sei unter dem Aspekt, wonach das Verhalten eines Verfolgers durch das Opfer kaum erklärt werden könne, nicht überzeugend. Seine Erklärung, dass sein Vater 2013 ohne erkennbaren Grund, wahrscheinlich jedoch infolge einer Denunziation mitgenommen und gefoltert worden sei, erscheine unter dem Gesichtspunkt, dass auch er aufgrund einer Denunziation vom CID kontaktiert und befragt worden sei, ebenfalls schlüssig. Die vorinstanzliche Erwägung, dass Aufwand und Nutzen seiner Folterungen in keinem nachvollziehbaren Verhältnis stünden und man zielführender zu einem Ergebnis hätte gelangen können, sei exemplarisch für die Problematik von Plausibilitätsüberlegungen und basiere ausschliesslich auf subjektiven Wertungen der sachbearbeitenden Person. Hingegen habe die Vorinstanz seine Erklärung, dass er wiederholt gefoltert worden sei, da der CID keine konkreten Beweise für seine Mitgliedschaft bei den LTTE gehabt habe, ignoriert. Diese Vorgehensweise entspreche einer bekannten und gut dokumentierten Vorgehensweise des CID. Sodann sei das Argument der Vorinstanz, wonach er «quasi» im gleichen Atemzug und demnach «gleich stark gewichtet habe», dass er der Vorladung im Mai ausberuflichen Gründen und aus Angst vor Folter ferngeblieben sei, gänzlich unverwertbar. Das Nennen von Gründen und deren Reihenfolge stehe nicht im Verhältnis mit deren tatsächlichen Gewichtung. Insgesamt entstehe der Eindruck, dass seine Fluchtmotive weder neutral noch objektiv beurteilt worden seien. Es sei durchaus nachvollziehbar, dass er sich vorwiegend auf die detaillierte Wiedergabe der Folterungen fokussiert habe. Dass sich die Vorinstanz anmasse, Erwägungen zur Verwertbarkeit eines durch Folter entstandenen schriftlichen Schuldeingeständnisses im Rahmen der Beweisführung der sri-lankischen Behörden vorzunehmen und an der Sprache des Geständnisformulars zweifle, sei nicht begreiflich. Auch die vermeintlichen Widersprüche seien erklärbar. Dass er erst auf Nachfrage der Rechtsvertretung wichtige Sachverhaltselemente erwähnt habe, ergebe sich dadurch, dass eine Rechtsvertretung jeweils Vorgespräche mit den Asylsuchenden führe und während einer Anhörung sowie im Rahmen ihrer Arbeit auf ein noch nicht erwähntes Sachverhaltselement hinweise. Deshalb sei seine Aussage in der ersten Anhörung, den Befragern zweimal begegnet zu sein und sie danach nicht mehr gesehen zu haben, nicht widersprüchlich zu seiner Erläuterung nach Aufforderung der Rechtsvertretung, wonach er danach nochmals vorgeladen worden und von anderen Leuten befragt worden sei. Auch der Vorhalt der Vorinstanz, dass der Inhalt der ersten und der zweiten Anhörung stark divergieren würde, sei unverständlich. Die damalige Rechtsvertretung habe nach der ersten Anhörung explizit protokollieren lassen, dass der Sachverhalt der Ereignisse von 2023 noch nicht erstellt worden und dem Beschwerdeführer die Möglichkeit zur detaillierten Schilderung zu gewähren sei. Auch habe er selber auf die Frage, ob er alle Fluchtgründe habe nennen können, geantwortet, dass er noch mehr hinzuzufügen habe. Dasselbe gelte für den Vorhalt, dass er erst in der zweiten Anhörung davon gesprochen habe, dass ihm währen einem Verhör eine mit Benzin getränkte Plastiktüte über den Kopf gestülpt worden sei. Dass er diese Gelegenheit wahrgenommen habe und dabei zusätzliche Details und Informationen vorgebracht habe, könne nicht als Widerspruch betrachtet werden. Des Weiteren könne der Argumentation, wonach es schwer nachvollziehbar sei, was genau beim ersten Verhör geschehen sei, nicht gefolgt werden. Der vermeintliche Widerspruch, wonach er einmal erklärt habe, dass ihm während seiner Entführung auf der Fahrt die Augen und Hände gefesselt worden seien, er aber später von gefesselten Händen und Füssen gesprochen habe, sei kein Widerspruch, sondern eine Eigenheit der tamilischen Sprache. In tamilischer Sprache bedeute Kai, Fuss Kal und Hände ebenso wie Hand und Fuss Kaikal, weshalb es sich lediglich um eine Unklarheit seiner entsprechenden Schilderungen handle. Insgesamt seien seine Vorbringen widerspruchsfrei, glaubhaft und würden zahlreiche Details sowie Realkennzeichen aufweisen. Schliesslich drohe ihm im Sinne einer Reflexverfolgung spätestens aufgrund seiner illegalen Ausreise Verhaftung und Folter. Mit Verweis auf die Risikoprofile von Asylsuchenden aus Sri Lanka sei zu ergänzen, dass er mutmasslich auf der Stop list aufgeführt sei, da sein älterer Bruder ein identifiziertes ehemaliges Mitglied der LTTE gewesen sei und das Rehabilitationsprogramm durchlaufen habe. Auch seinem Vater sei Unterstützung der LTTE unterstellt worden. In Kombination mit der illegalen Rückkehr würde er bei Ankunft am Flughafen direkt polizeilich einvernommen.</w:t>
      </w:r>
    </w:p>
    <w:p>
      <w:r>
        <w:rPr>
          <w:b/>
        </w:rPr>
        <w:t>E. 5.3</w:t>
      </w:r>
    </w:p>
    <w:p>
      <w:r>
        <w:t>Die Vorinstanz führte in der Vernehmlassung aus, dass die eingereichten medizinischen Berichte des Kantonspitals E._______ lediglich die bereits anlässlich der Anhörungen vorgebrachten gesundheitlichen Probleme des Beschwerdeführers, jedoch nicht deren Ursprung und somit auch nicht die Asylrelevanz seiner Vorbringen bezeugten. Dasselbe gelte für die Dokumente, die seine - nicht bezweifelten - Wohnorte zwischen 2009 und 2012 belegten und das Schreiben seiner Mutter an den Friedensrichter. Seine Erklärung, weshalb die sri-lankischen Behörden ihn erst rund vierzehn Jahre nach Beendigung des Krieges aufgesucht hätten, überzeuge nicht. Aus dem Umstand, dass auch sein Vater erst 2013 und vier Jahre nach dem militärischen Sieg der sri-lankischen Armee über die LTTE denunziert sowie verhaftet worden sei, lasse sich das geltend gemachte Verfolgungsinteresse an ihm nicht ableiten. Ausserdem sei er im Gegensatz zu seinem Vater im Zeitpunkt der geltend gemachten Unterstützung der LTTE erst (...) Jahre alt gewesen. An der These der bemängelten Logik im Zusammenhang mit Nutzen und Aufwand der Folterungen durch die LTTE sei nichts auszusetzen. Ferner sei es ihm nicht gelungen, die Widersprüche aufzulösen, zumal seine rückübersetzten Aussagen «Ja, korrekt. Zwei Mal bin ich diesen Leuten begegnet» und «Nein, ich habe diese Leute nicht mehr gesehen» eindeutige Widersprüche darstellten. Auch sei er - entgegen seiner Argumentation - während seiner ersten Anhörung aufgefordert worden, frei und detailliert seine Vorbringen zu äussern. Seine Schilderungen bezüglich der ersten Vernehmung beim CID und das beschriebene Fesseln seien ebenfalls widersprüchlich. Obwohl er eine Reflexverfolgung wegen seinem ehemals bei den LTTE aktiven Bruder geltend gemacht habe, habe er erklärt, dass sein Bruder Dokumente von Eingliederungsmassnahmen besitze und deshalb nicht mehr von Verfolgungsmassnahmen durch die sri-lankischen Behörden ausgesetzt sei. Eine persönliche Verfolgung habe er jedoch nicht glaubhaft darlegen können.</w:t>
      </w:r>
    </w:p>
    <w:p>
      <w:r>
        <w:rPr>
          <w:b/>
        </w:rPr>
        <w:t>E. 5.4</w:t>
      </w:r>
    </w:p>
    <w:p>
      <w:r>
        <w:t>In der Replik monierte der Beschwerdeführer, dass der Ursprung seiner medizinischen Leiden zwar keinen vollen Beweis für seine Verfolgung darstelle, den Berichten dennoch nicht pauschal der Beweiswert abgesprochen werden dürfe, zumal sich die beschriebenen medizinischen Ausführungen mit seinen Asylvorbringen decken würden und als starkes Indiz für die Glaubhaftigkeit seiner beschriebenen Folterungen zu betrachten seien. Deshalb sei auch dem Schreiben des Friedensrichters, dem zumindest ein minimaler Beweiswert zuzusprechen sei, geeignet, die Glaubhaftigkeitsprüfung insgesamt positiv zu beeinflussen. Diversen Berichten von Nichtregierungsorganisationen (NGO) und der Vereinten Nationen zufolge würden die sri-lankischen Behörden nach wie vor den Prevention Act of Terrorism anwenden, um vermeintliche politische Gegner und Minderheiten in Visier zu nehmen sowie diese mittels Verhaftungen und Folterungen einschüchtern. Ebenfalls gut dokumentiert sei, dass bis heute die für Misshandlungen zuständigen Behördenmitglieder strafrechtlich nicht verfolgt würden. Es sei davon auszugehen, dass sich die Vorinstanz mit den aktuellen Entwicklungen in Sri Lanka ungenügend auseinandergesetzt habe. Zudem basiere die vorinstanzliche Einschätzung überwiegend auf unzulässigen Plausibilitätsüberlegungen, Die Begründung der Vorinstanz, wonach es an der Glaubhaftigkeit einer allfälligen Motivation des sri-lankischen Staates an einer Verfolgung des Beschwerdeführers fehle, sei nicht nachvollziehbar und der Umstand, dass Informationen, die durch Folterungen entstehen würden, in einem funktionierenden Rechtsstaat nicht verwertbar seien, bedeute nicht, dass diese unmenschliche Praxis nicht angewendet werde. Die Vorinstanz vermische die Frage der Glaubhaftigkeit der Asylvorbringen mit der unzulässigen Frage deren Plausibilität. Die subjektive Nachvollziehbarkeit eines Sachverhaltselements durch einen Mitarbeiter des SEM sei nicht geeignet, objektiv begründete Zweifel am Sachverhalt zu begründen, zumal die Glaubhaftigkeitsprüfung anhand objektiver Kriterien zu erfolgen habe. Sodann habe die linguistische Erklärung zum Ziel, einen vermeintlichen Widerspruch aufzuklären und nicht die Qualität der dolmetschenden Person in Frage zu stellen.</w:t>
      </w:r>
    </w:p>
    <w:p>
      <w:r>
        <w:rPr>
          <w:b/>
        </w:rPr>
        <w:t>E. 6.1</w:t>
      </w:r>
    </w:p>
    <w:p>
      <w:r>
        <w:t>Der Beschwerdeführer machte in der Hauptsache geltend, dass er von den sri-lankischen Behörden verdächtigt werde, vor Kriegsende im Mai 2009 LTTE-Mitglied gewesen zu sein. Dabei werde er seit 2023 von den heimatlichen Behörden verfolgt und zu einem Geständnis unter Folter gezwungen. Die Vorinstanz bezweifelte die Glaubhaftigkeit seiner Schilderungen zu den geltend gemachten Fluchtmotiven. Deshalb ist nachfolgend zuerst zu beurteilen, ob seine Vorbringen den Anforderungen an Art. 7 AsylG standhalten.</w:t>
      </w:r>
    </w:p>
    <w:p>
      <w:r>
        <w:rPr>
          <w:b/>
        </w:rPr>
        <w:t>E. 6.2.1</w:t>
      </w:r>
    </w:p>
    <w:p>
      <w:r>
        <w:t>Das Gericht kommt zum Schluss, dass die vom Beschwerdeführer beschriebene viertägige Entführung durch die LTTE kurz vor Kriegsende 2009, die in diesem Zusammenhang erlittenen Misshandlungen des Vaters und die anschliessende Flucht grundsätzlich glaubhaft erscheinen, auch wenn die beschriebene Flucht mithilfe eines mit dem Vater befreundeten Anführers der LTTE einige Fragen offenlässt. Ebenfalls glaubhaft erscheint der erlebnisnah ausgefallene Beschrieb der Kriegswirren. Die freie Rede zu diesen Ereignissen zieht sich über rund zweieinhalb Seiten des Anhörungsprotokolls und ist mit zahlreichen Realkennzeichen sowie mit verschiedenen Ausführungen und Details versehen (vgl. SEM-Akten A13/15 F68-70 und A27/19 F59-61). Jedoch stehen diese als grundsätzlich glaubhaft zu erachtenden Schilderungen nicht in kausalem Zusammen-hang mit seiner Ausreise rund vierzehn Jahre später.</w:t>
      </w:r>
    </w:p>
    <w:p>
      <w:r>
        <w:rPr>
          <w:b/>
        </w:rPr>
        <w:t>E. 6.2.2</w:t>
      </w:r>
    </w:p>
    <w:p>
      <w:r>
        <w:t>Hingegen erweisen sich im Vergleich dazu die geschilderten Verhöre 2023 als wenig überzeugend. Die grundsätzlich undetaillierten, repetitiv klingenden Schilderungen ohne erkennbare Realkennzeichen oder persönlichen Überlegungen während der ersten Anhörung zum ersten Verhör des Beschwerdeführers beim CID am 27. März 2023 wecken erste Zweifel an der Glaubhaftigkeit seiner Ausführungen. Auch wenn die Anhörung beendet wurde, ohne dass der Sachverhalt in diesem Stadium des Verfahrens hinreichend erstellt war (vgl. SEM-Akte A13/15 F74-81, F96), gelang es ihm während der ergänzenden Anhörung ebenfalls nicht, diese überzeugend darzulegen. Die Schilderungen zu seinen Folterungen während der ersten beiden Verhöre erweisen sich als erlebnisarm sowie kaum persönlichkeitsbezogen und es fehlen Details sowie weitere Angaben zu Nebensächlichkeiten. Zwar ist die vorinstanzliche Erwägung, dass Aufwand und Nutzen seiner behaupteten Folterungen in keinem nachvollziehbaren Verhältnis stünden und man zielführender hätte vorgehen können, als rein subjektive und unangebrachte Einschätzung zu werten, dennoch erscheinen die Schilderungen zu den Folterungen als oberflächlich sowie unpersönlich beschrieben und erwecken nicht den Anschein, dass er diese tatsächlich selber erlebt hat. Auch wenn der Beschrieb seines letzten Verhörs im Juni 2023 einige Realkennzeichen sowie auch persönliche Überlegungen und Emotionen aufweist und dies grundsätzlich für die Glaubhaftigkeit von Schilderungen zu werten ist, sticht das Hinzufügen eines neuen zentralen Elementes ins Auge. Anlässlich der ersten Anhörung erklärte er an zwei Stellen, dass ihm der linke Zeigefingernagel ausgerissen worden sei, wo hingegen er in der ergän-zenden Anhörung hinzufügte, dass ihm ausserdem auch eine Tüte mit Benzin über den Kopf gestülpt und er ausgezogen worden sei. Angesichts der Schwere dieser beschriebenen Folterhandlung, welche mit einer Todesangst einhergegangen sein müsste, erstaunt es, dass er diese in der ersten Anhörung nicht ansatzweise erwähnte, sondern einzig vom herausgerissenen Fingernagel sprach (vgl. SEM-Akten A13/15 F64, F95 A27/19 F33 [S. 6], F69). Sodann ergibt sich - unter Berücksichtigung der strikten chronologischen Erzählweise, auf welche sich der Beschwerde-führer in seinen Eingaben beruft - ein - wenn auch nicht wesentlicher - Widerspruch. Während der ersten Anhörung erklärte er ausdrücklich, dass ihm das in singhalesischer Sprache verfasste Schreiben bereits während der Anhörung im März 2023 gezeigt worden, wohingegen er in der ergänzenden Anhörung geltend machte, dass ihm das Schreiben erst während dem Verhör im April 2023 vorgelegt worden sei (vgl. SEM-Akten A13/15 F73, A27/19 F33, letzter Abschnitt).</w:t>
      </w:r>
    </w:p>
    <w:p>
      <w:r>
        <w:rPr>
          <w:b/>
        </w:rPr>
        <w:t>E. 6.2.3</w:t>
      </w:r>
    </w:p>
    <w:p>
      <w:r>
        <w:t>Ungeachtet der verschiedenen Unglaubhaftigkeitselemente seiner Ausführungen erscheint es ferner im sri-lankischen Kontext wenig über-zeugend, dass der Beschwerdeführer dem Verhör vom Mai 2023 konsequenzlos fernbleiben konnte, ohne dass er deswegen am selben oder darauffolgenden Tag vom CID zu Hause aufgesucht, in einer anderen Art belästigt worden wäre oder entsprechende Nachteile erlitten hätte. Wäre er tatsächlich, wie von ihm dargelegt, in der ihm beschriebenen Weise von den heimatlichen Behörden behelligt worden, wäre ein Fernbleiben einer behördlichen Aufforderung kaum konsequenzlos geblieben. Deshalb ist seine Erklärung, dass er lediglich beim Verhör vom Juni 2023 gefragt worden sei, weshalb er im Mai der Vorladung nicht gefolgt sei, als vorwiegend realitätsfern zu werten (vgl. SEM-Akte 27/19 F33 S. 6 erster Abschnitt, F37). Überdies erscheint es wenig schlüssig, dass die heimatlichen Behörden den Beschwerdeführer vierzehn Jahre nach Beendigung des Krieges plötzlich unter Folter zur Rechenschaft ziehen sollen und ihm einzig ehemalige Mitgliedschaft bei den LTTE als Minderjähriger unterstellen. In Übereinstimmung mit den Erwägungen der Vorinstanz ist vielmehr davon auszugehen, dass sich der CID bei einem tatsächlichen Interesse am Beschwerdeführer mit seinen Befragungen kaum so lange Zeit gelassen hätte und bereits früher aktiv geworden wäre, um gegen ihn vorzugehen.</w:t>
      </w:r>
    </w:p>
    <w:p>
      <w:r>
        <w:rPr>
          <w:b/>
        </w:rPr>
        <w:t>E. 6.2.4</w:t>
      </w:r>
    </w:p>
    <w:p>
      <w:r>
        <w:t>Die eingereichten Beweismittel vermögen die behauptete Verfolgung des Beschwerdeführers durch die heimatlichen Behörden ebenfalls nicht zu belegen. Der eingereichte Todesschein bezeugt zwar den Tod seines Vaters, jedoch nicht die geltend gemachte Verfolgung. Auch die beiden Bestätigungen des Flüchtlingslagers und des Schulbesuches in D._______ belegen lediglich den damaligen und als glaubhaft zu erachtenden Aufenthalt im Flüchtlingslager der Nachkriegszeit. Sodann ist das Schreiben des Friedensrichters als Gefälligkeitsschreiben ohne wesentlichen Beweiswert zu qualifizieren, weshalb auch auf die in der Beschwerdeschrift beantragte Übersetzung verzichtetet werden kann.</w:t>
      </w:r>
    </w:p>
    <w:p>
      <w:r>
        <w:rPr>
          <w:b/>
        </w:rPr>
        <w:t>E. 6.3.1</w:t>
      </w:r>
    </w:p>
    <w:p>
      <w:r>
        <w:t>Sodann ist nicht davon auszugehen, dass der Beschwerdeführer bei einer Rückkehr nach Sri Lanka aufgrund möglicher Risikofaktoren mit beachtlicher Wahrscheinlichkeit ernsthafte Nachteile zu befürchten hätte (vgl. Referenzurteil des BVGer E-1886/2015 vom 15. Juli 2016 E. 8.5.1). Es liegen keine Anhaltspunkte dafür vor, dass er auf der sogenannten Stop-List vermerkt ist. Aus den Akten geht nicht hervor, dass er strafrechtlich verfolgt oder verurteilt worden wäre, weshalb ein möglicher Eintrag auf der Stop-List ebenfalls eher auszuschliessen ist. Auch wenn in Sri Lanka aktenkundig ist, dass der Bruder ein ehemaliges Mitglied der LTTE war und ein Rehabilitationsprogramm durchlaufen hatte, hatte er persönlich in der Vergangenheit deshalb keine konkreten Nachteile erlitten. Vor diesem Hintergrund ist auch zum heutigen Zeitpunkt nicht davon auszugehen, dass dieser familiäre Hintergrund von Bedeutung für die geltend gemachten Behelligungen des Beschwerdeführers durch de CID gewesen wäre, womit auch nicht von einer Reflexverfolgung auszugehen ist. Ferner wurde er seinen Aussagen zufolge seitens der sri-lankischen Behörden nie verdächtigt, den tamilischen Separatismus wiederaufleben lassen zu wollen. Das Vorliegen von stark risikobegründenden Faktoren, die geeignet wären, eine Furcht vor ernsthaften Nachteilen zu begründen, sind demnach auszuschliessen. Schliesslich vermögen weder seine rund zweieinhalbjährige Landesabwesenheit oder seine illegale Ausreise noch die allgemeine Lage in Sri Lanka flüchtlingsrechtliche Relevanz aufzuweisen. Eine bei der Einreise in Sri Lanka allfällige Befragung am Flughafen zum Hintergrund des Beschwerdeführers oder weitere Kontrollmassnahmen an seinem Herkunftsort stellen keine flüchtlingsrechtlich relevanten Massnahmen dar (vgl. unter vielen: Urteil des BVGer E-581/2020 vom 14. August 2024 E. 6.3.4).</w:t>
      </w:r>
    </w:p>
    <w:p>
      <w:r>
        <w:rPr>
          <w:b/>
        </w:rPr>
        <w:t>E. 6.4</w:t>
      </w:r>
    </w:p>
    <w:p>
      <w:r>
        <w:t>Zusammenfassend kommt das Gericht zum Schluss, dass es dem Beschwerdeführer nicht gelungen ist, nachzuweisen oder zumindest glaubhaft zu machen, dass er vor seiner Ausreise asylrelevanten Verfolgungsmassnahmen ausgesetzt war oder eine im Zeitpunkt der Ausreise vorliegende, objektiv begründete Furcht vor künftiger Verfolgung zu befürchten hätte. Die Vorinstanz hat sein Asylgesuch demnach zu Recht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Sri Lanka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8.2.4</w:t>
      </w:r>
    </w:p>
    <w:p>
      <w:r>
        <w:t>Der Vollzug der Wegweisung erweist sich sowohl im Sinn der asyl- als auch der völkerrechtlichen Bestimmungen als zulässig.</w:t>
      </w:r>
    </w:p>
    <w:p>
      <w:r>
        <w:rPr>
          <w:b/>
        </w:rPr>
        <w:t>E. 8.3.1</w:t>
      </w:r>
    </w:p>
    <w:p>
      <w:r>
        <w:t>Der bewaffnete Konflikt zwischen der sri-lankischen Regierung und den LTTE ist im Mai 2009 zu Ende gegangen. Zurzeit herrscht in Sri Lanka weder Krieg noch eine Situation allgemeiner Gewalt. Der der am 16. November 2019 zum Präsidenten gewählte umstrittene Gotabaya Rajapaksa und der zum Premierminister ernannte Mahinda Rajapaksa sowie der am 20. Juli 2022 gewählte und dem alten politischen Regime angehörige (Übergangs-)Präsident Ranil Wickremesinghe sind inzwischen nicht mehr an der Macht. Nach der schweren Wirtschaftskrise wurde am 22. September 2024 Anura Kumara Dissanayake, der nicht den zwei etablierten Parteien angehört, zum Präsidenten gewählt (vgl. BBC News vom 23. September 2024, Gavin Butler, Who is Sri Lanka's new president Anura Kumara Dissanayake?, &lt;www.bbc.com/news/articles/c206l7pz5v1o&gt;, zuletzt abgerufen am 25. September 2025). Bei der Parlamentswahl von Mitte November 2024 kam ein Linksbündnis, die National People's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Rückkehrende tamilischer Ethnie durch den Regierungswechsel verschärft hätte.</w:t>
      </w:r>
    </w:p>
    <w:p>
      <w:r>
        <w:rPr>
          <w:b/>
        </w:rPr>
        <w:t>E. 8.3.2</w:t>
      </w:r>
    </w:p>
    <w:p>
      <w:r>
        <w:t>In den beiden Referenzurteilen E-1866/2015 vom 15. Juli 2016 und D-3619/2016 vom 16. Oktober 2017 hat das Bundesverwaltungsgericht eine Einschätzung der Lage in Sri Lanka vorgenommen und kam dabei zum Schluss, dass der Wegweisungsvollzug in die Nordprovinz und in die Ostprovinz unter Einschluss des Vanni-Gebiets zumutbar sei, wenn das Vorliegen von bestimmten individuellen Zumutbarkeitskriterien - insbesondere Existenz eines tragfähigen familiären oder sozialen Beziehungsnetzes sowie Aussicht auf eine gesicherte Einkommens und Wohnsituation - bejaht werden könne. An dieser Einschätzung vermag die seit einiger Zeit in weiten Teilen Sri Lankas herrschende angespannte anhaltende Wirtschaftslage und Finanzkrise grundsätzlich nichts zu ändern, da diese Umstände die ganze sri-lankische Bevölkerung tangieren (vgl. Urteile des BVGer D-2920/2020 vom 27. Mai 2025 E. 8.3.1 m.w.H.; E-5862/2023 vom 25. März 2024 E. 7.3.2 sowie das Referenzurteil des BVGer E-737/2020 vom 27. Februar 2023 E. 10.2.5.1).</w:t>
      </w:r>
    </w:p>
    <w:p>
      <w:r>
        <w:rPr>
          <w:b/>
        </w:rPr>
        <w:t>E. 8.4.1</w:t>
      </w:r>
    </w:p>
    <w:p>
      <w:r>
        <w:t>Aus individueller Hinsicht spricht nichts gegen einen Vollzug der Wegweisung. Der Beschwerdeführer stammt aus F.________ (Nordprovinz), wo er bis zu seiner Ausreise bei seiner Mutter gelebt hat. Anlässlich seiner Anhörungen gab er an, dass er seit 2012 zuerst im Betrieb seines Vaters und zwischen 2019 bis zu seiner Ausreise im Mai 2023 als (...) (unter anderem für Touristen) gearbeitet hat und zusätzlich im (...) tätig gewesen ist, dabei gut verdiente und auch seine Mutter finanziell unterstützen konnte. Das Haus, in welchem die Mutter wohnt, gehört der in der Schweiz lebenden Schwester (vgl. SEM-Akten A13/15 F22-29, F36; A27/19 F12-17, F23). Angesichts seiner mehrjährigen Arbeitserfahrungen wird es ihm möglich sein, nach seiner Rückkehr nach Sri Lanka erneut eine Anstellung zu finden und seinen Lebensunterhalt erneut eigenständig zu bestreiten. Dabei wird ihm sein familiäres Netz ebenso hilfreich zur Seite stehen können wie sein soziales Umfeld, zumal davon auszugehen ist, dass er im Heimatdorf, wo er bis auf einige wenige Jahre von seiner Geburt bis zur Ausreise gelebt hat, wird zurückgreifen können. Auch die Wohnsituation erscheint geregelt und er wird erneut bei seiner Mutter einziehen können.</w:t>
      </w:r>
    </w:p>
    <w:p>
      <w:r>
        <w:rPr>
          <w:b/>
        </w:rPr>
        <w:t>E. 8.4.2</w:t>
      </w:r>
    </w:p>
    <w:p>
      <w:r>
        <w:t>Auch aus medizinischer Sicht spricht nichts gegen einen Wegweisungsvollzug. Den Arztberichten (vom 9. April 2024, 24. April 2024 und 23. Mai 2024) ist zu entnehmen, dass der (...) des Beschwerdeführers aufgrund einer (...) weiterhin schmerzhaft sei und er weiterhin Physiotherapiebehandlungen und Schmerzmittel benötige. Eine diagnostische und therapeutische Infiltration des (...) sei am. 23. Mai 2024 erfolgreich ambulant durchgeführt worden. Das festgestellte, bleibende leichte (...) stellt keine schwerwiegende Erkrankung dar, die einem Vollzug der Wegweisung entgegenstehen könnte. Den Akten ist ferner nicht zu entnehmen, dass er an weiteren gesundheitlichen Beschwerden leiden würde.</w:t>
      </w:r>
    </w:p>
    <w:p>
      <w:r>
        <w:rPr>
          <w:b/>
        </w:rPr>
        <w:t>E. 8.5</w:t>
      </w:r>
    </w:p>
    <w:p>
      <w:r>
        <w:t>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mit Verfügung vom 28. Juni 2024 das Gesuch um Gewährung der unentgeltlichen Prozessführung gutgeheissen wurde und keine Veränderung seiner finanziellen Verhältnisse ersichtlich ist, sind keine Kosten zu erheben.</w:t>
      </w:r>
    </w:p>
    <w:p>
      <w:r>
        <w:rPr>
          <w:b/>
        </w:rPr>
        <w:t>E. 10.2</w:t>
      </w:r>
    </w:p>
    <w:p>
      <w:r>
        <w:t>Mit Eingabe vom 2. August 2024 reichte der Rechtsvertreter des Beschwerdeführers eine aktualisierte Kostennote in der Höhe von gerundet Fr. 4'873.- ein. Dabei wurde ein Aufwand von insgesamt 19 Stunden zu einem Stundenansatz von Fr. 250.- sowie Auslagen von gerundet Fr. 123.- geltend gemacht. Die Höhe der Auslagen ist nicht zu beanstanden, der Aufwand erscheint insgesamt jedoch zu hoch und ist entsprechend zu kürzen. Mit Verfügung vom 28. Juni 2024 wurde zudem darauf aufmerksam gemacht, dass - wie vorliegend - bei einer nicht-anwaltlichen Rechtsvertretung von einem Stundenansatz von Fr. 100.- bis Fr. 150.- auszugehen ist. Der Stundenansatz ist demensprechend auf Fr. 150.- zu kürzen und unter Berücksichtigung der in Betracht zu ziehenden Bemessungsfaktoren (Art. 9-13 VGKE) das amtliche Honorar auf insgesamt Fr. 2'523.-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