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D-3963/2012 vom 1. Oktober 2012</w:t>
      </w:r>
    </w:p>
    <w:p>
      <w:r>
        <w:t>Bundesverwaltungsgericht, 2012-10-01, DE</w:t>
      </w:r>
    </w:p>
    <w:p>
      <w:r>
        <w:rPr>
          <w:b/>
        </w:rPr>
        <w:t xml:space="preserve">Quelle: </w:t>
      </w:r>
      <w:r>
        <w:t>https://mcp.opencaselaw.ch/entscheid/bvger_D-3963_2012</w:t>
      </w:r>
    </w:p>
    <w:p>
      <w:r>
        <w:t>FR: TAF D-3963/2012 du 1 octobre 2012</w:t>
      </w:r>
    </w:p>
    <w:p>
      <w:r>
        <w:t>IT: TAF D-3963/2012 del 1 ottobre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Prüfung der Akten durch das Gericht ist - in Übereinstimmung mit der Vorinstanz - festzuhalten, dass die Herkunftsangabe des Be­schwer­deführers und seine geltend gemachten Probleme nicht glaubhaft sind. Zur Vermeidung von Wiederholungen ist auf die ausführlichen und zutreffenden Erwägungen in der angefochtenen Verfügung zu verweisen (vgl. Bst. C.b. vorstehend). Die Beschwerdevorbringen sind nicht geeignet, eine Änderung der vorinstanzlichen Verfügung zu bewirken. Der Beschwer­deführer bringt insbesondere keine fundierten Argumente vor, die das Resultat der LINGUA-Analyse in Frage stellen würden. So versucht er lediglich seine mangelhaften Kenntnisse bezüglich C._______ und der Chinesischen Spra­che mit nicht plausiblen Erklärungen zu rechtfertigen und wirft dem LINGUA-Ex­per­ten vor, nicht zu wissen, dass in Tibet verschiedene Dialekte gesprochen werden. Das BFM hat ihm aber mit Schreiben vom 9. Mai 2012 eine Übersicht "Werdegang und Qualifikation der sachverständigen Person" ausgehändigt, worauf ersichtlich ist, dass der Experte Kenntnisse verschiedener Dialekte hat. Des Weiteren vermag auch das mit der Beschwer­de ein­gereichte Schreiben des Tibetischen Büros in Genf vom (...) seine behauptete Herkunft nicht zu beweisen, sondern bestätigt lediglich seine tibetische Abstammung, welche indes nicht in Abrede gestellt wird. An dieser Stelle ist zudem festzuhalten, dass die vorliegende LINGUA-Analyse sorgfältig und ausführlich begründet ist und daher für das Gericht kein Grund besteht, an der Einschätzung des fachlich qualifizierten Experten zu zweifeln.</w:t>
      </w:r>
    </w:p>
    <w:p>
      <w:r>
        <w:rPr>
          <w:b/>
        </w:rPr>
        <w:t>E. 5.2</w:t>
      </w:r>
    </w:p>
    <w:p>
      <w:r>
        <w:t>Zusammenfassend ist festzuhalten, dass die Asylvorbringen des Beschwerdeführers vor allem aufgrund seiner unglaubhaften Herkunftsanga­be den Anforderungen an die Glaubhaftigkeit gemäss Art. 7 AsylG nicht stand­zuhalten vermögen.</w:t>
      </w:r>
    </w:p>
    <w:p>
      <w:r>
        <w:rPr>
          <w:b/>
        </w:rPr>
        <w:t>E. 6.1</w:t>
      </w:r>
    </w:p>
    <w:p>
      <w:r>
        <w:t>Neben den bereits erwähnten Beschwerdevorbringen, macht der Be­schwerdeführer geltend, dass er aufgrund subjektiver Nachfluchtgründe eine Verfolgung im Sinne von Art. 3 AsylG zu befürchten hat und dementsprechend als Flüchtling anzuerkennen sei.</w:t>
      </w:r>
    </w:p>
    <w:p>
      <w:r>
        <w:rPr>
          <w:b/>
        </w:rPr>
        <w:t>E. 6.2</w:t>
      </w:r>
    </w:p>
    <w:p>
      <w:r>
        <w:t>Als subjektive Nachfluchtgründe im Sinne von Art. 54 AsylG gelten insbesondere unerwünschte exilpolitische Betätigungen, illegales Verlassen des Heimatlandes (sog. Republikflucht) oder die Einreichung eines Asylgesuchs im Ausland, wenn sie die Gefahr einer zukünftigen Verfolgung begründen (vgl. BVGE 2009/29 E. 5.1, mit Hin­weis auf Entscheidungen und Mit­teilungen der [vor­maligen] Schweizerischen Asylrekurskommission [EMARK] 2006 Nr. 1 E. 6.1).</w:t>
      </w:r>
    </w:p>
    <w:p>
      <w:r>
        <w:rPr>
          <w:b/>
        </w:rPr>
        <w:t>E. 6.3</w:t>
      </w:r>
    </w:p>
    <w:p>
      <w:r>
        <w:t>Gemäss Rechtsprechung des Bundesverwaltungsgerichts ist davon aus­zugehen, dass illegal ausgereiste Asylsuchende tibetischer Ethnie bei ei­ner Rückkehr in die Volksrepublik China oppositioneller politisch-re­li­giö­ser Anschauungen verdächtigt würden und aus diesem Grund mit Verfolgung im flüchtlingsrelevanten Sinn zu rechnen hätten (vgl. BVGE 2009/29 E. 6.5). Dies gilt auch für legal ausgereiste Asylsuchende, sofern sie ihren (länger als ursprünglich erlaubten) Auslandaufenthalt nicht überzeugend begründen könnten beziehungsweise den chinesischen Behörden gegen­über nicht glaubhaft darlegen könnten, keine Kontakte zu Dalai-La­ma-lo­ya­len exiltibetischen Kreisen gehabt zu haben (vgl. BVGE a.a.O E. 6.6).</w:t>
      </w:r>
    </w:p>
    <w:p>
      <w:r>
        <w:rPr>
          <w:b/>
        </w:rPr>
        <w:t>E. 6.4</w:t>
      </w:r>
    </w:p>
    <w:p>
      <w:r>
        <w:t>Vorliegend ist aufgrund der LINGUA-Analyse zu schliessen, dass der Beschwerdeführer in einem Land ausserhalb der Volksrepublik China gelebt hat und von dort in die Schweiz ge­reist ist. Es kann daher konsequenterweise - wie im Übrigen bereits die Vorinstanz in der angefochtenen Verfügung erwog - weder von einer illegalen noch einer legalen Ausreise aus der Volksrepublik China aus­gegangen werden. Die entsprechenden Ausführungen und Schlussfol­gerungen des vorstehend zitierten Entscheides BVGE 2009/29 sind daher auf den vorliegenden Fall nicht anwendbar und es ist dementsprechend auch nicht vom Vorliegen subjektiver Nachfluchtgründe auszugehen.</w:t>
      </w:r>
    </w:p>
    <w:p>
      <w:r>
        <w:rPr>
          <w:b/>
        </w:rPr>
        <w:t>E. 7</w:t>
      </w:r>
    </w:p>
    <w:p>
      <w:r>
        <w:t>Zusammenfassend ist festzustellen, dass das BFM die Flüchtlingseigenschaft des Beschwerdeführers zu Recht verneint und dessen Asylgesuch abgelehnt hat.</w:t>
      </w:r>
    </w:p>
    <w:p>
      <w:r>
        <w:rPr>
          <w:b/>
        </w:rPr>
        <w:t>E. 8.1</w:t>
      </w:r>
    </w:p>
    <w:p>
      <w:r>
        <w:t>Lehnt das BFM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(vgl. BVGE 2009/50 E. 9 S. 733 mit Hinweis auf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9.2</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Verheimlicht die asylsuchende Person beispielsweise ihre Nationalität, so kann es nicht Sache der Asylbehörden sein, nach allfälligen Wegweisungshindernissen in hypothetischen Heimat- oder Herkunftsländern zu forschen (vgl. EMARK 2005 Nr. 1 E. 3.2.2, mit weiteren Hinweisen).</w:t>
      </w:r>
    </w:p>
    <w:p>
      <w:r>
        <w:rPr>
          <w:b/>
        </w:rPr>
        <w:t>E. 9.3</w:t>
      </w:r>
    </w:p>
    <w:p>
      <w:r>
        <w:t>Im vorliegenden Fall hat der Beschwerdeführer keine Identitätspapiere eingereicht. Zudem erscheint seine behauptete chinesische Staatsangehörigkeit aufgrund der LINGUA-Analyse nicht glaubhaft. Sodann sind seine Ausführungen bezüglich seiner Reise in die Schweiz unsubstanziiert ausgefallen und somit unglaubhaft. Es ist davon auszugehen, der Beschwerdeführer habe nur unter Verwendung authentischer Identitäts- und Reisepapiere in die Schweiz gelangen können. Da der Beschwerdeführer die Folgen dieser mangelhaften Mitwirkung respektive Verheim­lichung seiner wahren Staatsangehörigkeit zu tragen hat, ist vermutungsweise davon auszugehen, dass einer Wegweisung in den tatsächlichen Heimatstaat keine landes- oder völkerrechtlichen Vollzugshindernisse im Sinne von Art. 44 Abs. 2 AsylG i.V.m. Art. 83 Abs. 2 - 4 AuG entgegenstehen.</w:t>
      </w:r>
    </w:p>
    <w:p>
      <w:r>
        <w:rPr>
          <w:b/>
        </w:rPr>
        <w:t>E. 9.4</w:t>
      </w:r>
    </w:p>
    <w:p>
      <w:r>
        <w:t>Das BFM hat den Vollzug der Wegweisung somit zu Recht als zulässig, zumutbar und möglich erachtet. Nach dem Gesagten fällt eine Anordnung der vorläufigen Aufnahme ausser Betracht (Art. 83 Abs. 1 - 4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sind die Kosten dem Be­schwer­deführer aufzuerlegen (Art. 63 Abs. 1 und 5 VwVG). Sie sind auf insgesamt Fr. 600.-- festzusetzen (Art. 1 - 3 des Reglements vom 21. Februar 2008 über die Kosten und Entschädigungen vor dem Bundesverwaltungsgericht [VGKE, SR 173.320.2]) und mit dem am 2. August 2012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