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D-3961/2009 vom 22. Dezember 2011</w:t>
      </w:r>
    </w:p>
    <w:p>
      <w:r>
        <w:t>Bundesverwaltungsgericht, 2011-12-22, DE</w:t>
      </w:r>
    </w:p>
    <w:p>
      <w:r>
        <w:rPr>
          <w:b/>
        </w:rPr>
        <w:t xml:space="preserve">Quelle: </w:t>
      </w:r>
      <w:r>
        <w:t>https://mcp.opencaselaw.ch/entscheid/bvger_D-3961_2009</w:t>
      </w:r>
    </w:p>
    <w:p>
      <w:r>
        <w:t>FR: TAF D-3961/2009 du 22 décembre 2011</w:t>
      </w:r>
    </w:p>
    <w:p>
      <w:r>
        <w:t>IT: TAF D-3961/2009 del 22 dicembre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Falle von Beschwerden gegen Nichteintretensentscheide, mit denen es das BFM ablehnt, das Asylgesuch auf seine Begründetheit hin zu überprüfen (Art. 32 - 35 AsylG), ist die Beurteilungskompetenz des Bundesverwaltungsgerichts grundsätzlich auf die Frage beschränkt, ob das BFM zu Recht auf das Asylgesuch nicht eingetreten ist. Die Beschwerdeinstanz enthält sich einer selbständigen materiellen Prüfung und weist die Sache - sofern sie den Nichteintretensentscheid als unrechtmässig erachtet - zu neuer Entscheidung an die Vorinstanz zurück (vgl. dazu BVGE 2007/8 E. 2.1 mit weiterem Hinweis).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4</w:t>
      </w:r>
    </w:p>
    <w:p>
      <w:r>
        <w:t>Zunächst ist auf die in der Beschwerdeschrift erhobenen formellen Einwände einzugehen.</w:t>
      </w:r>
    </w:p>
    <w:p>
      <w:r>
        <w:rPr>
          <w:b/>
        </w:rPr>
        <w:t>E. 4.1</w:t>
      </w:r>
    </w:p>
    <w:p>
      <w:r>
        <w:t>Der Beschwerdeführer macht geltend, das Bundesamt habe sich nicht zur Ausübung des Selbsteintrittsrechts der Schweiz gemäss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[Dublin-II-VO]), geäussert und damit seine Begründungspflicht verletzt.</w:t>
      </w:r>
    </w:p>
    <w:p>
      <w:r>
        <w:rPr>
          <w:b/>
        </w:rPr>
        <w:t>E. 4.2</w:t>
      </w:r>
    </w:p>
    <w:p>
      <w:r>
        <w:t>Der Anspruch auf rechtliches Gehör wird durch Art. 29-33 VwVG kon­kretisiert. Demnach umfasst dieser Anspruch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der Bundesverfassung der Schweizerischen Eidgenossenschaft vom 18. April 1999 (BV, SR 101) ergeben. Der mit Grundrechtsqualität ausgestattete Grundsatz des rechtlichen Gehörs im Sinne von Art. 29 Abs. 2 BV umfasst unbestrittenermassen eine Anzahl verschiedener verfassungsrechtlicher Verfahrensgarantien (vgl. aus der Literatur Michele Albertini, Der verfassungsmässige Anspruch auf rechtliches Gehör im Verwaltungsverfahren des modernen Staates, Bern 2000, S. 202 ff.; Ulrich Häfelin/Georg Müller/Felix Uhlmann, Allgemeines Verwaltungsrecht, 5. Aufl., Zürich/Basel/Genf/St. Gallen 2006,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Reinhold Hotz, St. Galler Kommentar zu Art. 29 BV, Rz. 34 ff.; Kölz/Häner, a.a.O., S. 119; Schefer, a.a.O., S. 300 ff.).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Bernhard Waldmann/Philippe Weissenberger [Hrsg.], Praxiskommentar VwVG, Zürich/Basel/Genf 2009, Art. 35, N 10, 17).</w:t>
      </w:r>
    </w:p>
    <w:p>
      <w:r>
        <w:rPr>
          <w:b/>
        </w:rPr>
        <w:t>E. 4.3</w:t>
      </w:r>
    </w:p>
    <w:p>
      <w:r>
        <w:t>Es trifft zu, dass die Vorinstanz in der angefochtenen Verfügung nicht begründete, weshalb ihrer Ansicht nach das Selbsteintrittsrecht nicht zum Tragen komme. Aus den vorinstanzlichen Akten ergaben sich allerdings für das BFM auch keine konkreten, sich auf den Fall des Beschwerdeführers beziehende Hinweise, welche die Ausübung des Selbsteintrittsrechts nahegelegt hätten. Entsprechend konnte die Vorinstanz auf entsprechende Ausführungen verzichten, ohne die Begründungspflicht zu verletzen. Im Weiteren impliziert der Nichteintretensentscheid durch das Bundesamt, dass kein Anlass für einen Selbsteintritt der Schweiz bestand, womit der Begründungspflicht - auch in Berücksichtigung der nachstehend behandelten Rügen - vorliegend Genüge getan ist. Entgegen der auf Beschwerdeebene vertretenen Auffassung ergibt sich nach Ansicht des Bundesverwaltungsgerichts aus dem Hinweis auf die deutsche und österreichische Rechtspraxis, welche aus Art. 3 Abs. 2 Dublin-II-VO unter bestimmten Voraussetzungen eine Pflicht zum Selbsteintritt ableitet beziehungsweise daraus eine ins innerstaatliche Recht transformierte, unmittelbar anwendbare Norm erkennt, noch keine Pflicht für die schweizerische Rechtspraxis, sich der rechtlichen Umsetzung beziehungsweise Qualifikation der erwähnten Norm durch die Nachbarstaaten anzugleichen. Gemäss Rechtsprechung des Bundesverwaltungsgerichtes wird Art. 3 Abs. 2 Dublin-II-VO gegenteils als nicht direkt anwendbar erachtet (vgl. BVGE 2010/45 E. 5). Ferner - selbst wenn eine solche Pflicht für die schweizerischen Behörden erkannt werden müsste, könnten daraus keine Rückschlüsse für die Begründungsdichte eines Entscheids in Bezug auf die Ausübung oder Nichtausübung eines solchen Selbsteintritts gezogen werden.</w:t>
      </w:r>
    </w:p>
    <w:p>
      <w:r>
        <w:rPr>
          <w:b/>
        </w:rPr>
        <w:t>E. 4.4</w:t>
      </w:r>
    </w:p>
    <w:p>
      <w:r>
        <w:t>Eine weitere Verletzung seines Anspruches auf rechtliches Gehör sieht der Beschwerdeführer darin, dass er sich nach Vorliegen der Zustimmung Italiens zu seiner Rückübernahme nicht mehr habe äussern können. Dem Beschwerdeführer wurde - wie er selber anerkennt - anlässlich seiner Befragung vom 6. Januar 2009 die Möglichkeit eingeräumt, allfällige gegen eine Zuständigkeit Italiens sprechende Gründe vorzutragen. Damit wurde er über eine mögliche Zuständigkeit Italiens in Kenntnis gesetzt und es wurde ihm dazu das rechtliche Gehör gewährt. Durch die Zustimmung der italienischen Behörden zur Überstellung des Beschwerdeführers ergab sich für ihn keine neue Sachlage, weshalb für die Vorinstanz auch kein Anlass bestand, ihm eine weitere Äusserungsmöglichkeit einzuräumen. Dem Gehörsanspruch in Hinblick die Zuständigkeit Italiens wurde durch die vorgängige Äusserungsmöglichkeit des Beschwerdeführers genügend Rechnung getragen. 5.1. Auf Asylgesuche wird in der Regel nicht eingetreten, wenn Asylsuchende in einen Drittstaat ausreisen können, welcher für die Durchführung des Asyl- und Wegweisungsverfahrens staatsvertraglich zuständig ist (Art. 34 Abs. 2 Bst. d AsylG). 5.2. Aus den Akten ergibt sich, dass der Beschwerdeführer am (...) 2008 in B._______ von den italienischen Behörden daktyloskopisch erfasst worden ist. Nach eigenen Angaben hielt er sich in der Folge bis zu seiner Einreise in die Schweiz immer in Italien auf. Die italienischen Behörden stimmten sodann in Beantwortung der Anfrage des BFM vom 17. Februar 2009 am 22. April 2009 der Aufnahme des Beschwerdeführers gestützt auf Art. 16 Abs. 1 Bst. e Dublin-II-VO zu. Damit ist die Grundlage für einen Nichteintretensentscheid in Anwendung von Art. 34 Abs. 2 Bst. d AsylG ohne Weiteres gegeben. Soweit auf Beschwerdeebene geltend gemacht wird, in Italien drohe Flüchtlingen die direkte Abschiebung nach Libyen, ist festzuhalten, dass das Abkommen zwischen Libyen und Italien vom 10. Juni 2009 - sofern es zur Zeit aufgrund der Ereignisse in Libyen überhaupt noch angewendet wird - nicht Personen betrifft, welche sich bereits im europäischen Raum befinden, weshalb der Beschwerdeführer diesbezüglich nichts zu befürchten hat (vgl. zum Abkommen ausführlich Human Rights Watch: Pushed Back, Pushed Around; Italy's Forced Return of Boat Migrants and Asylum Seekers, Libya's Mistreatment of Migrants and Asylum Seekers; 21. September 2009). Weiter ist darauf hinzuweisen,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des Beschwerdeführers nicht an die aus diesen Über­einkommen resultierenden Verpflichtungen, insbesondere das Rückschie­bungsverbot oder die einschlägigen Normen der EMRK, halten. Gemäss Kenntnissen des Bundesverwaltungsgerichts nehmen sich zudem neben staatlichen Behörden auch private Hilfsorganisationen Dublin-Rück­keh­render an. Zwar können Asylsuchende in Italien bei der Unterkunft, der Arbeit und dem Zugang zu medizinischer Infrastruktur Schwierigkeiten ausgesetzt sein. Entscheidend ist jedoch, dass Italien - wie eben dargelegt - Signatarstaat der FK, der EMRK und der FoK ist und keine konkreten Hinweise dafür bestehen, das Land werde sich nicht an die aus diesen Übereinkommen resultierenden Verpflichtungen halten. Ausserdem stünde dem Beschwerdeführer die Möglichkeit offen, sich mit Hilfe einer Rechtsberatungsstelle einer italienischen Hilfsorganisation in Italien gegen eine allfällige Nichteinhaltung der gemäss Aufnahmerichtlinie geltenden Mindeststandards zur Wehr zu setzen. Unter diesen Umständen sind daher keine konkreten Anhaltspunkte dafür ersichtlich, der Beschwerdeführer würde im Falle einer Rückkehr nach Italien in eine existenzbedrohende Notlage geraten, zumal es sich bei ihm gemäss den Akten nicht um eine verletzliche Person, sondern vielmehr um einen jungen, gesunden Mann handelt. Schliesslich ist darauf hinzuweisen, dass sich der Beschwerdeführer gemäss Zustimmungserklärung der italienischen Behörden nach der Überstellung in Palermo wird melden müssen. Die Behauptungen in der Beschwerdeschrift, wonach im damaligen Zeitpunkt Asylsuchende von Lampedusa nicht mehr auf das italienische Festland verbracht worden seien, erweist sich damit als irrelevant. Ebenso erübrigen sich Ausführungen zu der auf Beschwerdeebene dargelegten Situation von Flüchtlingen in Libyen. Angesichts der gesamten Umstände sind keine Gründe ersichtlich, die eine Veranlassung zu einem Selbsteintritt unter dem Aspekt von Art. 3 Abs. 2 Dublin-II-VO geboten hätten. Das BFM ist in Anwendung von Art. 34 Abs. 2 Bst. d AsylG zu Recht auf das Asylgesuch des Beschwerdeführers nicht eingetreten. 6.1. Das Nichteintreten auf ein Asylgesuch hat in der Regel die Wegwei­sung aus der Schweiz zur Folge (Art. 44 Abs. 1 AsylG). Vorliegend ist kei­ne Ausnahme von diesem Grundsatz ersichtlich (vgl. BVGE 2009/50 E. 9). In Verfahren nach Art. 34 Abs. 2 Bst. d AsylG ist die Frage nach der Zulässigkeit und Möglichkeit des Wegweisungsvollzugs regelmässig bereits Voraussetzung (und nicht erst Regelfolge) des Nichteintretensent­scheids (vgl. BVGE 2010/45 E. 10.2). Auf die Frage einer drohenden Verletzung des Non-Refoulement-Gebots muss daher an dieser Stelle nicht weiter eingegangen werden; es kann auf das oben unter E. 5.2. Gesagte verwiesen werden. 6.2. 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 Im vorliegenden Fall steht dies nicht zur Diskussion. Beizufügen ist, dass die Anordnung von Ersatzmassnahmen (die vorläufige Aufnahme) respektive die Feststellung von diesen zugrundeliegenden Vollzugshindernissen der Wegweisung in den Heimatstaat auch nicht Gegenstand des vorliegenden Beschwerdeverfahrens sein kann. 6.3. Nach dem Gesagten ist die Überstellung des Beschwerdeführers nach Italien zu bestätigen.</w:t>
      </w:r>
    </w:p>
    <w:p>
      <w:r>
        <w:rPr>
          <w:b/>
        </w:rPr>
        <w:t>E. 7</w:t>
      </w:r>
    </w:p>
    <w:p>
      <w:r>
        <w:t>Der Vollständigkeit halber ist im Hinblick auf die Überstellungsfrist festzuhalten, dass gemäss Art. 20 Abs. 1 Bst. d Dublin-II-VO die Überstellung grundsätzlich spätestens innerhalb einer Frist von sechs Monaten nach der Annahme des Antrags auf Wiederaufnahme zu erfolgen hat. Eine Ausnahme ist jedoch für den Fall vorgesehen, dass der Rechtsbehelf (vorliegend: Beschwerde vom 19. Juni 2009), über den zu entscheiden ist, aufschiebende Wirkung hat. Ein Rechtsbehelf hat dann aufschiebende Wirkung, wenn gemäss den nationalen Vorschriften die Durchführung des Überstellungsverfahrens ausgesetzt wird (vgl. Urteil des Europäischen Gerichtshofes [EuGH] vom 29. Januar 2009 i.S. Migrationsverket [Schweden] / Petrosian, C-19/08). Das Bundesverwaltungsgericht hat im vorliegenden Fall den Vollzug der Wegweisung und damit die Überstellung in den zuständigen Mitgliedstaat mit Verfügung vom 25. Juni 2009 im Sinne von Art. 56 VwVG ausgesetzt, was gemäss Dublin-II-VO zu einer Unterbrechung der regulären Vollzugsfrist führt (vgl. Urteil des Bundesverwaltungsgerichts E-2452/2010 vom 2. September 2010 E. 4.4; zur Erteilung der aufschiebenden Wirkung: BVGE 2010/27 E. 7.2.1). Die sechs­monatige Überstellungsfrist beginnt damit ab Urteilsdatum neu zu laufen.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dem vorliegenden Entscheid (und angesichts der vom Instruktionsrichter verfügten vorsorglichen Aussetzung des Vollzugs der Wegweisung) werden die Anträge auf Wiederherstellung der aufschiebenden Wir­kung der Beschwerde mittels superprovisorischer und provisorischer Verfügung und Verzicht auf Vollzugshandlungen gegenstandslos. Ausführungen zur Thematik der grundsätzlich gesetzlich nicht vorgesehenen aufschiebenden Wirkung von Beschwerden in Verfahren gemäss Dublin (Art. 107a AsylG) und der Vereinbarkeit dieser gesetzlichen Regelung mit Art. 13 EMRK erübrigen sich somit.</w:t>
      </w:r>
    </w:p>
    <w:p>
      <w:r>
        <w:rPr>
          <w:b/>
        </w:rPr>
        <w:t>E. 10</w:t>
      </w:r>
    </w:p>
    <w:p>
      <w:r>
        <w:t>Bei diesem Ausgang des Verfahrens wären die Kosten grundsätzlich dem Beschwerdeführer aufzuerlegen (Art. 63 Abs. 1 und 5 VwVG). Nachdem die Beschwerde nicht als aussichtslos bezeichnet werden musste und von der Bedürftigkeit des Beschwerdeführers auszugehen ist, ist das Gesuch um Gewährung der unentgeltlichen Prozessführung gutzuheissen (vgl. Art. 65 Abs. 1 VwVG), und es sind demnach keine Verfahrenskosten zu erheben. Der Beschwerdeführer beantragte überdies, es sei ihm ein unentgeltlicher Rechtsbeistand zu bewilligen. Für die Gewährung der unentgeltlichen Rechtsverbeiständung gemäss Art. 65 Abs. 2 VwVG ist ausschlaggebend, ob die Partei zur Wahrung ihrer Rechte notwendigerweise der professionellen juristischen Hilfe eines Anwaltes bedarf (vgl. dazu BGE 122 I 49 E. 2c S. 51 ff.; BGE 120 Ia 43 E. 2a S. 44 ff.).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S. 182). In Verfahren wie dem vorliegenden, welche vom Untersuchungsgrundsatz beherrscht sind, sind strenge Massstä­be an die Gewährung der unentgeltlichen Rechtsverbeiständung anzuset­zen (vgl. EMARK 2000 Nr. 6 sowie BGE 122 I 8 E. 2c S. 10). Im Asylverfahren sind besondere Rechtskenntnisse zur wirksamen Beschwerdeführung im Regelfall nicht unbedingt erforderlich, weshalb praxisgemäss nur in Verfahren ein amtlicher Anwalt oder eine amtliche Anwältin eingesetzt wird, bei denen in rechtlicher oder tatsächlicher Hinsicht erhöhte Schwierigkeiten bestehen. Für das vorliegende Verfahren ist zu beachten, dass es sich um ein Zuständigkeitsverfahren handelt, welchem nicht dieselbe Tragweite zukommt wie bei einem materiellen Asyl- und Wegweisungsverfahren. Es wird nicht über die Flüchtlingseigenschaft und die Asylgewährung eines Gesuchstellers entschieden, sondern einzig der zuständige Staat für das Asyl- und Wegweisungsverfahren bestimmt. Hinzu kommt, dass das vorliegende Verfahren weder in tatsächlicher noch in rechtlicher Hinsicht besonders komplex erscheint. Dies insbesondere vor dem Hintergrund, dass die grundsätzliche Zuständigkeit Italiens unbestritten blieb, die italienischen Behörden der Übernahme des Beschwerdeführers explizit zustimmten und deshalb keine Anhaltspunkte dafür bestanden, dass dem Beschwerdeführer der Zugang zu einem Asylverfahren in Italien verwehrt würde und ihm eine Rückschaffung nach Libyen drohte. Hinzu kommt, dass auch die persönlichen Umstände des Beschwerdeführers die Notwendigkeit einer anwaltlichen Verbeiständung nicht notwendig erscheinen lassen. So handelt es sich um einen gesunden, jungen Mann, welcher nach eigenen Angaben im Heimatland eine gute Ausbildung genoss (12 Schuljahre, 2 Jahre Studium, anschliessende (...)tätigkeit [vgl. A1/11 S. 2]). Es kann ohne weiteres davon ausgegangen werden, der Beschwerdeführer vermöchte die ihm zustehenden Rechte gegenüber den italienischen Behörden - allenfalls mit Hilfe der in Italien vorhandenen Beratungsstellen - geltend zu machen. Schliesslich bleibt darauf hinzuweisen, dass zahlreiche im Asylbereich tätige Hilfswerke und Beratungsstellen mannigfaltig weitergehende Leistungen - unter anderem auch die weitgehend kostenlose (bzw. zumindest nicht von Vorschussleistung an die Mandatäre abhängige) Verbeiständung durch sach­kundige Personen und Übersetzungsdienste - anbieten (vgl. EMARK 2001 Nr. 11 E. 6.b.bb. S. 87). Insgesamt ist die Notwendigkeit der anwaltlicher Verbeiständung im vorliegenden Fall zu verneinen,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